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28B20">
      <w:pPr>
        <w:pStyle w:val="7"/>
        <w:rPr>
          <w:rFonts w:hint="eastAsia" w:asciiTheme="minorEastAsia" w:hAnsiTheme="minorEastAsia" w:eastAsiaTheme="minorEastAsia" w:cstheme="minorEastAsia"/>
        </w:rPr>
      </w:pPr>
      <w:bookmarkStart w:id="0" w:name="_GoBack"/>
      <w:bookmarkEnd w:id="0"/>
      <w:r>
        <w:rPr>
          <w:rFonts w:hint="eastAsia" w:asciiTheme="minorEastAsia" w:hAnsiTheme="minorEastAsia" w:eastAsiaTheme="minorEastAsia" w:cstheme="minorEastAsia"/>
        </w:rPr>
        <w:t>　</w:t>
      </w:r>
    </w:p>
    <w:p w14:paraId="32EC98A8">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w:t>
      </w:r>
    </w:p>
    <w:p w14:paraId="5C314F2D">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货物和服务项目</w:t>
      </w:r>
    </w:p>
    <w:p w14:paraId="5FD2A768">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公开招标文件</w:t>
      </w:r>
    </w:p>
    <w:p w14:paraId="7B6A11E6">
      <w:pPr>
        <w:pStyle w:val="7"/>
        <w:jc w:val="left"/>
        <w:outlineLvl w:val="2"/>
        <w:rPr>
          <w:rFonts w:hint="eastAsia" w:asciiTheme="minorEastAsia" w:hAnsiTheme="minorEastAsia" w:eastAsiaTheme="minorEastAsia" w:cstheme="minorEastAsia"/>
          <w:b/>
          <w:sz w:val="28"/>
        </w:rPr>
      </w:pPr>
    </w:p>
    <w:p w14:paraId="690E0A4A">
      <w:pPr>
        <w:pStyle w:val="7"/>
        <w:jc w:val="left"/>
        <w:outlineLvl w:val="2"/>
        <w:rPr>
          <w:rFonts w:hint="eastAsia" w:asciiTheme="minorEastAsia" w:hAnsiTheme="minorEastAsia" w:eastAsiaTheme="minorEastAsia" w:cstheme="minorEastAsia"/>
          <w:b/>
          <w:sz w:val="28"/>
        </w:rPr>
      </w:pPr>
    </w:p>
    <w:p w14:paraId="32C6E469">
      <w:pPr>
        <w:pStyle w:val="7"/>
        <w:jc w:val="left"/>
        <w:outlineLvl w:val="2"/>
        <w:rPr>
          <w:rFonts w:hint="eastAsia" w:asciiTheme="minorEastAsia" w:hAnsiTheme="minorEastAsia" w:eastAsiaTheme="minorEastAsia" w:cstheme="minorEastAsia"/>
          <w:b/>
          <w:sz w:val="28"/>
        </w:rPr>
      </w:pPr>
    </w:p>
    <w:p w14:paraId="696B0B7E">
      <w:pPr>
        <w:pStyle w:val="7"/>
        <w:jc w:val="left"/>
        <w:outlineLvl w:val="2"/>
        <w:rPr>
          <w:rFonts w:hint="eastAsia" w:asciiTheme="minorEastAsia" w:hAnsiTheme="minorEastAsia" w:eastAsiaTheme="minorEastAsia" w:cstheme="minorEastAsia"/>
          <w:b/>
          <w:sz w:val="28"/>
        </w:rPr>
      </w:pPr>
    </w:p>
    <w:p w14:paraId="0152A9A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项目名称：药学院药物靶标蛋白结构成像系统采购项目</w:t>
      </w:r>
    </w:p>
    <w:p w14:paraId="7F43102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备案编号：CGXM-2026-350001-08609[2026]06842</w:t>
      </w:r>
    </w:p>
    <w:p w14:paraId="4A610486">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项目编号：[350001]HZZB[GK]2026006</w:t>
      </w:r>
    </w:p>
    <w:p w14:paraId="71E55CD8">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采购人：福建中医药大学</w:t>
      </w:r>
    </w:p>
    <w:p w14:paraId="75C8B5BF">
      <w:pPr>
        <w:pStyle w:val="7"/>
        <w:jc w:val="center"/>
        <w:outlineLvl w:val="2"/>
        <w:rPr>
          <w:rFonts w:hint="eastAsia" w:asciiTheme="minorEastAsia" w:hAnsiTheme="minorEastAsia" w:eastAsiaTheme="minorEastAsia" w:cstheme="minorEastAsia"/>
          <w:b/>
          <w:sz w:val="28"/>
        </w:rPr>
      </w:pPr>
    </w:p>
    <w:p w14:paraId="1E02ACBA">
      <w:pPr>
        <w:pStyle w:val="7"/>
        <w:jc w:val="center"/>
        <w:outlineLvl w:val="2"/>
        <w:rPr>
          <w:rFonts w:hint="eastAsia" w:asciiTheme="minorEastAsia" w:hAnsiTheme="minorEastAsia" w:eastAsiaTheme="minorEastAsia" w:cstheme="minorEastAsia"/>
          <w:b/>
          <w:sz w:val="28"/>
        </w:rPr>
      </w:pPr>
    </w:p>
    <w:p w14:paraId="5EEEA125">
      <w:pPr>
        <w:pStyle w:val="7"/>
        <w:jc w:val="center"/>
        <w:outlineLvl w:val="2"/>
        <w:rPr>
          <w:rFonts w:hint="eastAsia" w:asciiTheme="minorEastAsia" w:hAnsiTheme="minorEastAsia" w:eastAsiaTheme="minorEastAsia" w:cstheme="minorEastAsia"/>
          <w:b/>
          <w:sz w:val="28"/>
        </w:rPr>
      </w:pPr>
    </w:p>
    <w:p w14:paraId="13D6D4F0">
      <w:pPr>
        <w:pStyle w:val="7"/>
        <w:jc w:val="center"/>
        <w:outlineLvl w:val="2"/>
        <w:rPr>
          <w:rFonts w:hint="eastAsia" w:asciiTheme="minorEastAsia" w:hAnsiTheme="minorEastAsia" w:eastAsiaTheme="minorEastAsia" w:cstheme="minorEastAsia"/>
          <w:b/>
          <w:sz w:val="28"/>
        </w:rPr>
      </w:pPr>
    </w:p>
    <w:p w14:paraId="5E9BA6A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代理机构：福建华真招标代理有限公司</w:t>
      </w:r>
    </w:p>
    <w:p w14:paraId="3503DF1D">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编制时间：2026年09月</w:t>
      </w:r>
    </w:p>
    <w:p w14:paraId="04C08EA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B18F99B">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第一章 投标邀请</w:t>
      </w:r>
    </w:p>
    <w:p w14:paraId="5CAFE2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福建华真招标代理有限公司 采用公开招标方式组织 药学院药物靶标蛋白结构成像系统采购项目 （以下简称：“本项目”）的政府采购活动，现邀请供应商参加投标。</w:t>
      </w:r>
    </w:p>
    <w:p w14:paraId="4B31E0FA">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1、备案编号：CGXM-2026-350001-08609[2026]06842</w:t>
      </w:r>
    </w:p>
    <w:p w14:paraId="0F1283E5">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2、项目编号：[350001]HZZB[GK]2026006</w:t>
      </w:r>
    </w:p>
    <w:p w14:paraId="71A3E1C3">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3、预算金额、最高限价：详见《采购标的一览表》。</w:t>
      </w:r>
    </w:p>
    <w:p w14:paraId="57F524C0">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4、招标内容及要求：详见《采购标的一览表》及招标文件第五章。</w:t>
      </w:r>
    </w:p>
    <w:p w14:paraId="7536FBD6">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5、需要落实的政府采购政策</w:t>
      </w:r>
    </w:p>
    <w:p w14:paraId="01DA3D38">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进口产品：适用于本项目</w:t>
      </w:r>
    </w:p>
    <w:p w14:paraId="03DF8BFD">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节能产品：适用于本项目</w:t>
      </w:r>
    </w:p>
    <w:p w14:paraId="17C70222">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环境标志产品：适用于本项目</w:t>
      </w:r>
    </w:p>
    <w:p w14:paraId="1F2AD703">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促进中小企业发展的相关政策：</w:t>
      </w:r>
    </w:p>
    <w:p w14:paraId="4BB23537">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采购包1：不专门面向中小企业采购</w:t>
      </w:r>
    </w:p>
    <w:p w14:paraId="18C4F16E">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6、投标人的资格要求</w:t>
      </w:r>
    </w:p>
    <w:p w14:paraId="4EDDFECA">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6.1法定条件：符合政府采购法第二十二条第一款规定的条件。</w:t>
      </w:r>
    </w:p>
    <w:p w14:paraId="7F948068">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6.2特定条件：</w:t>
      </w:r>
    </w:p>
    <w:p w14:paraId="0F03729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00"/>
        <w:gridCol w:w="7958"/>
      </w:tblGrid>
      <w:tr w14:paraId="05B32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4" w:type="pct"/>
          </w:tcPr>
          <w:p w14:paraId="63DA6F1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3995" w:type="pct"/>
          </w:tcPr>
          <w:p w14:paraId="2CB41C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7D2FF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4" w:type="pct"/>
          </w:tcPr>
          <w:p w14:paraId="569165B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资格承诺函</w:t>
            </w:r>
          </w:p>
        </w:tc>
        <w:tc>
          <w:tcPr>
            <w:tcW w:w="3995" w:type="pct"/>
          </w:tcPr>
          <w:p w14:paraId="17548F7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福建省财政厅关于印发推行政府采购供应商资格承诺制指导意见的通知》（闽财购〔2024〕6号），参加本项目投标的投标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投标人可自行选择是否提供本承诺函，若不提供本承诺函的，应按招标文件要求提供相应的证明材料。投标人应对其承诺内容的真实性、合法性、有效性负责，不得作出虚假承诺，承诺不实的，属于提供虚假材料谋取中标、成交，依法追究相关的法律责任。</w:t>
            </w:r>
          </w:p>
        </w:tc>
      </w:tr>
    </w:tbl>
    <w:p w14:paraId="6C34E778">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6.3是否接受联合体投标：</w:t>
      </w:r>
    </w:p>
    <w:p w14:paraId="6E034168">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采购包1：不接受</w:t>
      </w:r>
    </w:p>
    <w:p w14:paraId="631926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※根据上述资格要求，电子投标文件中应提交的“投标人的资格及资信证明文件”详见招标文件第四章。</w:t>
      </w:r>
    </w:p>
    <w:p w14:paraId="74BBBBD3">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7、招标文件的获取</w:t>
      </w:r>
    </w:p>
    <w:p w14:paraId="7F082DDD">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7.1、招标文件获取期限：详见招标公告或更正公告，若不一致，以更正公告为准。</w:t>
      </w:r>
    </w:p>
    <w:p w14:paraId="6CA9FF52">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23BC59C7">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7.3、获取地点及方式：注册账号后，通过福建省政府采购网上公开信息系统以下载方式获取。</w:t>
      </w:r>
    </w:p>
    <w:p w14:paraId="0F357196">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7.4、招标文件售价：0元。</w:t>
      </w:r>
    </w:p>
    <w:p w14:paraId="321E8F58">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8、投标截止</w:t>
      </w:r>
    </w:p>
    <w:p w14:paraId="0663D084">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8.1、投标截止时间：详见招标公告或更正公告，若不一致，以更正公告为准。</w:t>
      </w:r>
    </w:p>
    <w:p w14:paraId="3D639103">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8.2、投标人应在投标截止时间前按照福建省政府采购网上公开信息系统设定的操作流程将电子投标文件上传至福建省政府采购网上公开信息系统，否则投标将被拒绝。</w:t>
      </w:r>
    </w:p>
    <w:p w14:paraId="406A2B75">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9、开标时间及地点</w:t>
      </w:r>
    </w:p>
    <w:p w14:paraId="4C8DA3DC">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详见招标公告或更正公告，若不一致，以更正公告为准。</w:t>
      </w:r>
    </w:p>
    <w:p w14:paraId="343B5948">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10、公告期限</w:t>
      </w:r>
    </w:p>
    <w:p w14:paraId="5686212E">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10.1、招标公告的公告期限：自财政部和福建省财政厅指定的政府采购信息发布媒体最先发布公告之日起5个工作日。</w:t>
      </w:r>
    </w:p>
    <w:p w14:paraId="73B29564">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10.2、招标文件公告期限：招标文件随同招标公告一并发布，其公告期限与招标公告的公告期限保持一致。</w:t>
      </w:r>
    </w:p>
    <w:p w14:paraId="4C5600BE">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11、采购人：福建中医药大学</w:t>
      </w:r>
    </w:p>
    <w:p w14:paraId="08D9DF4D">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地址： 福建省福州市闽侯上街邱阳路1号</w:t>
      </w:r>
    </w:p>
    <w:p w14:paraId="06E3A37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邮编： 350122</w:t>
      </w:r>
    </w:p>
    <w:p w14:paraId="02DD00D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联系人： 郑老师</w:t>
      </w:r>
    </w:p>
    <w:p w14:paraId="64F40CE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 0591-22861085</w:t>
      </w:r>
    </w:p>
    <w:p w14:paraId="548FAAD2">
      <w:pPr>
        <w:pStyle w:val="7"/>
        <w:ind w:firstLine="480"/>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12、代理机构：福建华真招标代理有限公司</w:t>
      </w:r>
    </w:p>
    <w:p w14:paraId="7F329116">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地址： 福建省福州市鼓楼区洪山镇洪山园路52号华润万象城（三期）S11#楼3层07-13、15办公</w:t>
      </w:r>
    </w:p>
    <w:p w14:paraId="5C62549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邮编： 350000</w:t>
      </w:r>
    </w:p>
    <w:p w14:paraId="1D8D9A6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联系人： 徐萍珠、陈真、林美珍</w:t>
      </w:r>
    </w:p>
    <w:p w14:paraId="5C05B42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 0591-38165630-4</w:t>
      </w:r>
    </w:p>
    <w:p w14:paraId="145B679A">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附1：账户信息</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0A21E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3EE7E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投标保证金账户</w:t>
            </w:r>
          </w:p>
          <w:p w14:paraId="757CEB1E">
            <w:pPr>
              <w:pStyle w:val="7"/>
              <w:jc w:val="left"/>
              <w:rPr>
                <w:rFonts w:hint="eastAsia" w:asciiTheme="minorEastAsia" w:hAnsiTheme="minorEastAsia" w:eastAsiaTheme="minorEastAsia" w:cstheme="minorEastAsia"/>
              </w:rPr>
            </w:pPr>
          </w:p>
        </w:tc>
      </w:tr>
      <w:tr w14:paraId="32172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9137FF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开户名称： 福建华真招标代理有限公司</w:t>
            </w:r>
          </w:p>
        </w:tc>
      </w:tr>
      <w:tr w14:paraId="4B8D3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CA095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开户银行：供应商在福建省政府采购网上公开信息系统获取招标文件后，根据其提示自行选择要缴交的投标保证金托管银行。</w:t>
            </w:r>
          </w:p>
        </w:tc>
      </w:tr>
      <w:tr w14:paraId="393B0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59273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4BB03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AD3B6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特别提示</w:t>
            </w:r>
          </w:p>
        </w:tc>
      </w:tr>
      <w:tr w14:paraId="2BDC4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DD5FB2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1、投标人应认真核对账户信息，将投标保证金汇入以上账户，并自行承担因汇错投标保证金而产生的一切后果。</w:t>
            </w:r>
          </w:p>
          <w:p w14:paraId="69FC402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2、投标人在转账或电汇的凭证上应按照以下格式注明，以便核对：“（项目编号：***）的投标保证金”。</w:t>
            </w:r>
          </w:p>
        </w:tc>
      </w:tr>
    </w:tbl>
    <w:p w14:paraId="04B5EF7B">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附2：采购标的一览表</w:t>
      </w:r>
    </w:p>
    <w:p w14:paraId="49F5ECA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4607FF3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采购包预算金额（元）: 9,580,000.00</w:t>
      </w:r>
    </w:p>
    <w:p w14:paraId="03A94D6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采购包最高限价（元）: 9,580,000.00</w:t>
      </w:r>
    </w:p>
    <w:p w14:paraId="30DBB9A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采购包保证金金额（元）: 95,800.00</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2"/>
        <w:gridCol w:w="1835"/>
        <w:gridCol w:w="1384"/>
        <w:gridCol w:w="1653"/>
        <w:gridCol w:w="1384"/>
        <w:gridCol w:w="1384"/>
        <w:gridCol w:w="1384"/>
      </w:tblGrid>
      <w:tr w14:paraId="3540A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8" w:type="pct"/>
          </w:tcPr>
          <w:p w14:paraId="0A30198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921" w:type="pct"/>
          </w:tcPr>
          <w:p w14:paraId="1028474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w:t>
            </w:r>
          </w:p>
        </w:tc>
        <w:tc>
          <w:tcPr>
            <w:tcW w:w="694" w:type="pct"/>
          </w:tcPr>
          <w:p w14:paraId="09991C1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829" w:type="pct"/>
          </w:tcPr>
          <w:p w14:paraId="536E496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标的金额 （元）</w:t>
            </w:r>
          </w:p>
        </w:tc>
        <w:tc>
          <w:tcPr>
            <w:tcW w:w="694" w:type="pct"/>
          </w:tcPr>
          <w:p w14:paraId="5735C0A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694" w:type="pct"/>
          </w:tcPr>
          <w:p w14:paraId="447811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所属行业</w:t>
            </w:r>
          </w:p>
        </w:tc>
        <w:tc>
          <w:tcPr>
            <w:tcW w:w="694" w:type="pct"/>
          </w:tcPr>
          <w:p w14:paraId="4C4485D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是否允许进口产品</w:t>
            </w:r>
          </w:p>
        </w:tc>
      </w:tr>
      <w:tr w14:paraId="7174F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8" w:type="pct"/>
          </w:tcPr>
          <w:p w14:paraId="038C139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921" w:type="pct"/>
          </w:tcPr>
          <w:p w14:paraId="2FA5986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c>
          <w:tcPr>
            <w:tcW w:w="694" w:type="pct"/>
          </w:tcPr>
          <w:p w14:paraId="46F0CABB">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1.00</w:t>
            </w:r>
          </w:p>
        </w:tc>
        <w:tc>
          <w:tcPr>
            <w:tcW w:w="829" w:type="pct"/>
          </w:tcPr>
          <w:p w14:paraId="26A8FB7B">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9,580,000.00</w:t>
            </w:r>
          </w:p>
        </w:tc>
        <w:tc>
          <w:tcPr>
            <w:tcW w:w="694" w:type="pct"/>
          </w:tcPr>
          <w:p w14:paraId="11E1453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694" w:type="pct"/>
          </w:tcPr>
          <w:p w14:paraId="07C50CF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工业</w:t>
            </w:r>
          </w:p>
        </w:tc>
        <w:tc>
          <w:tcPr>
            <w:tcW w:w="694" w:type="pct"/>
          </w:tcPr>
          <w:p w14:paraId="5839AAE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r>
    </w:tbl>
    <w:p w14:paraId="249FAF5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本国产品标准适用范围：</w:t>
      </w:r>
    </w:p>
    <w:p w14:paraId="313B3CE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3"/>
        <w:gridCol w:w="2490"/>
        <w:gridCol w:w="3737"/>
        <w:gridCol w:w="2490"/>
      </w:tblGrid>
      <w:tr w14:paraId="3D9D8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0B19B5F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249" w:type="pct"/>
          </w:tcPr>
          <w:p w14:paraId="396BC98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采购品目名称</w:t>
            </w:r>
          </w:p>
        </w:tc>
        <w:tc>
          <w:tcPr>
            <w:tcW w:w="1875" w:type="pct"/>
          </w:tcPr>
          <w:p w14:paraId="6302C84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w:t>
            </w:r>
          </w:p>
        </w:tc>
        <w:tc>
          <w:tcPr>
            <w:tcW w:w="1249" w:type="pct"/>
          </w:tcPr>
          <w:p w14:paraId="008DA8A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r>
      <w:tr w14:paraId="3766C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7BDA6A9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49" w:type="pct"/>
          </w:tcPr>
          <w:p w14:paraId="13FD12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其他分析仪器</w:t>
            </w:r>
          </w:p>
        </w:tc>
        <w:tc>
          <w:tcPr>
            <w:tcW w:w="1875" w:type="pct"/>
          </w:tcPr>
          <w:p w14:paraId="38F614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c>
          <w:tcPr>
            <w:tcW w:w="1249" w:type="pct"/>
          </w:tcPr>
          <w:p w14:paraId="625B9B6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r>
    </w:tbl>
    <w:p w14:paraId="76F5B62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503FF3E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（1）报价要求：</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
        <w:gridCol w:w="3608"/>
        <w:gridCol w:w="655"/>
        <w:gridCol w:w="655"/>
        <w:gridCol w:w="1677"/>
        <w:gridCol w:w="1639"/>
        <w:gridCol w:w="1230"/>
      </w:tblGrid>
      <w:tr w14:paraId="466E4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7" w:type="pct"/>
          </w:tcPr>
          <w:p w14:paraId="26C50A2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811" w:type="pct"/>
          </w:tcPr>
          <w:p w14:paraId="728E284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报价内容</w:t>
            </w:r>
          </w:p>
        </w:tc>
        <w:tc>
          <w:tcPr>
            <w:tcW w:w="329" w:type="pct"/>
          </w:tcPr>
          <w:p w14:paraId="776AF5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329" w:type="pct"/>
          </w:tcPr>
          <w:p w14:paraId="5D11330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报价单位</w:t>
            </w:r>
          </w:p>
        </w:tc>
        <w:tc>
          <w:tcPr>
            <w:tcW w:w="842" w:type="pct"/>
          </w:tcPr>
          <w:p w14:paraId="5B507DF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最高限价</w:t>
            </w:r>
          </w:p>
        </w:tc>
        <w:tc>
          <w:tcPr>
            <w:tcW w:w="823" w:type="pct"/>
          </w:tcPr>
          <w:p w14:paraId="2B2940E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价款形式</w:t>
            </w:r>
          </w:p>
        </w:tc>
        <w:tc>
          <w:tcPr>
            <w:tcW w:w="617" w:type="pct"/>
          </w:tcPr>
          <w:p w14:paraId="0FAAA36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报价说明</w:t>
            </w:r>
          </w:p>
        </w:tc>
      </w:tr>
      <w:tr w14:paraId="19764B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7" w:type="pct"/>
          </w:tcPr>
          <w:p w14:paraId="1A1901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811" w:type="pct"/>
          </w:tcPr>
          <w:p w14:paraId="2F69305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c>
          <w:tcPr>
            <w:tcW w:w="329" w:type="pct"/>
          </w:tcPr>
          <w:p w14:paraId="7162FD9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29" w:type="pct"/>
          </w:tcPr>
          <w:p w14:paraId="082D0D7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元</w:t>
            </w:r>
          </w:p>
        </w:tc>
        <w:tc>
          <w:tcPr>
            <w:tcW w:w="842" w:type="pct"/>
          </w:tcPr>
          <w:p w14:paraId="0F9DE25C">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9,580,000.00</w:t>
            </w:r>
          </w:p>
        </w:tc>
        <w:tc>
          <w:tcPr>
            <w:tcW w:w="823" w:type="pct"/>
          </w:tcPr>
          <w:p w14:paraId="2229DD9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总价</w:t>
            </w:r>
          </w:p>
        </w:tc>
        <w:tc>
          <w:tcPr>
            <w:tcW w:w="617" w:type="pct"/>
          </w:tcPr>
          <w:p w14:paraId="23491CD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tc>
      </w:tr>
    </w:tbl>
    <w:p w14:paraId="553E033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（2）报价明细要求：</w:t>
      </w:r>
    </w:p>
    <w:p w14:paraId="7B04ABD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64"/>
        <w:gridCol w:w="2326"/>
        <w:gridCol w:w="2326"/>
        <w:gridCol w:w="465"/>
        <w:gridCol w:w="465"/>
        <w:gridCol w:w="1587"/>
        <w:gridCol w:w="929"/>
        <w:gridCol w:w="1396"/>
      </w:tblGrid>
      <w:tr w14:paraId="4B82A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3" w:type="pct"/>
          </w:tcPr>
          <w:p w14:paraId="66AA46F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167" w:type="pct"/>
          </w:tcPr>
          <w:p w14:paraId="469E84D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报价明细内容</w:t>
            </w:r>
          </w:p>
        </w:tc>
        <w:tc>
          <w:tcPr>
            <w:tcW w:w="1167" w:type="pct"/>
          </w:tcPr>
          <w:p w14:paraId="54AAF72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报价要求</w:t>
            </w:r>
          </w:p>
        </w:tc>
        <w:tc>
          <w:tcPr>
            <w:tcW w:w="233" w:type="pct"/>
          </w:tcPr>
          <w:p w14:paraId="2DB2E84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233" w:type="pct"/>
          </w:tcPr>
          <w:p w14:paraId="03E6AA6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报价单位</w:t>
            </w:r>
          </w:p>
        </w:tc>
        <w:tc>
          <w:tcPr>
            <w:tcW w:w="796" w:type="pct"/>
          </w:tcPr>
          <w:p w14:paraId="26BC964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最高限价</w:t>
            </w:r>
          </w:p>
        </w:tc>
        <w:tc>
          <w:tcPr>
            <w:tcW w:w="466" w:type="pct"/>
          </w:tcPr>
          <w:p w14:paraId="6C27DDF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价款形式</w:t>
            </w:r>
          </w:p>
        </w:tc>
        <w:tc>
          <w:tcPr>
            <w:tcW w:w="700" w:type="pct"/>
          </w:tcPr>
          <w:p w14:paraId="57E3949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报价说明</w:t>
            </w:r>
          </w:p>
        </w:tc>
      </w:tr>
      <w:tr w14:paraId="3C1A5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3" w:type="pct"/>
          </w:tcPr>
          <w:p w14:paraId="352E4F4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67" w:type="pct"/>
          </w:tcPr>
          <w:p w14:paraId="0118B85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c>
          <w:tcPr>
            <w:tcW w:w="1167" w:type="pct"/>
          </w:tcPr>
          <w:p w14:paraId="3343322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药物靶标蛋白结构成像系统</w:t>
            </w:r>
          </w:p>
        </w:tc>
        <w:tc>
          <w:tcPr>
            <w:tcW w:w="233" w:type="pct"/>
          </w:tcPr>
          <w:p w14:paraId="3A7F23E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233" w:type="pct"/>
          </w:tcPr>
          <w:p w14:paraId="0854F84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元</w:t>
            </w:r>
          </w:p>
        </w:tc>
        <w:tc>
          <w:tcPr>
            <w:tcW w:w="796" w:type="pct"/>
          </w:tcPr>
          <w:p w14:paraId="0509DC59">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9,580,000.00</w:t>
            </w:r>
          </w:p>
        </w:tc>
        <w:tc>
          <w:tcPr>
            <w:tcW w:w="466" w:type="pct"/>
          </w:tcPr>
          <w:p w14:paraId="053EE71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总价</w:t>
            </w:r>
          </w:p>
        </w:tc>
        <w:tc>
          <w:tcPr>
            <w:tcW w:w="700" w:type="pct"/>
          </w:tcPr>
          <w:p w14:paraId="6188A55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tc>
      </w:tr>
    </w:tbl>
    <w:p w14:paraId="0C6CB8E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BC48430">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第二章 投标人须知前附表</w:t>
      </w:r>
    </w:p>
    <w:p w14:paraId="6CD92A09">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一、投标人须知前附表1</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1662"/>
        <w:gridCol w:w="7475"/>
      </w:tblGrid>
      <w:tr w14:paraId="0CF4E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3"/>
          </w:tcPr>
          <w:p w14:paraId="43A8A22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特别提示：本表与招标文件对应章节的内容若不一致，以本表为准。</w:t>
            </w:r>
          </w:p>
        </w:tc>
      </w:tr>
      <w:tr w14:paraId="29390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0050275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834" w:type="pct"/>
          </w:tcPr>
          <w:p w14:paraId="684EA0C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招标文件</w:t>
            </w:r>
          </w:p>
          <w:p w14:paraId="0346EA0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（第三章）</w:t>
            </w:r>
          </w:p>
        </w:tc>
        <w:tc>
          <w:tcPr>
            <w:tcW w:w="3751" w:type="pct"/>
          </w:tcPr>
          <w:p w14:paraId="5892639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编列内容</w:t>
            </w:r>
          </w:p>
        </w:tc>
      </w:tr>
      <w:tr w14:paraId="3BB5A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11FDD67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834" w:type="pct"/>
          </w:tcPr>
          <w:p w14:paraId="1FF13EF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6.1</w:t>
            </w:r>
          </w:p>
        </w:tc>
        <w:tc>
          <w:tcPr>
            <w:tcW w:w="3751" w:type="pct"/>
          </w:tcPr>
          <w:p w14:paraId="6C713AD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是否组织现场考察或召开开标前答疑会：</w:t>
            </w:r>
          </w:p>
          <w:p w14:paraId="740CA75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采购包1：不组织</w:t>
            </w:r>
          </w:p>
        </w:tc>
      </w:tr>
      <w:tr w14:paraId="573057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1AAA009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834" w:type="pct"/>
          </w:tcPr>
          <w:p w14:paraId="49DD58B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10.4</w:t>
            </w:r>
          </w:p>
        </w:tc>
        <w:tc>
          <w:tcPr>
            <w:tcW w:w="3751" w:type="pct"/>
          </w:tcPr>
          <w:p w14:paraId="51C546D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投标文件的份数：</w:t>
            </w:r>
          </w:p>
          <w:p w14:paraId="49B115D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（1）可读介质（光盘或U盘） 0 份：投标人应将其上传至福建省政府采购网上公开信息系统的电子投标文件在该可读介质中另存 0 份。</w:t>
            </w:r>
          </w:p>
          <w:p w14:paraId="6884E47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（2）电子投标文件：详见投标人须知前附表2《关于电子招标投标活动的专门规定》。</w:t>
            </w:r>
          </w:p>
        </w:tc>
      </w:tr>
      <w:tr w14:paraId="2FAAD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5512956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834" w:type="pct"/>
          </w:tcPr>
          <w:p w14:paraId="06569A8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10.7-（1）</w:t>
            </w:r>
          </w:p>
        </w:tc>
        <w:tc>
          <w:tcPr>
            <w:tcW w:w="3751" w:type="pct"/>
          </w:tcPr>
          <w:p w14:paraId="0B87F91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是否允许中标人将本项目的非主体、非关键性工作进行分包：</w:t>
            </w:r>
          </w:p>
          <w:p w14:paraId="035F820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采购包1：不允许合同分包；</w:t>
            </w:r>
          </w:p>
        </w:tc>
      </w:tr>
      <w:tr w14:paraId="55CF2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59701D3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834" w:type="pct"/>
          </w:tcPr>
          <w:p w14:paraId="2E772AC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10.8-（1）</w:t>
            </w:r>
          </w:p>
        </w:tc>
        <w:tc>
          <w:tcPr>
            <w:tcW w:w="3751" w:type="pct"/>
          </w:tcPr>
          <w:p w14:paraId="20AB48F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投标有效期：投标截止时间起 90 个日历日。</w:t>
            </w:r>
          </w:p>
        </w:tc>
      </w:tr>
      <w:tr w14:paraId="57272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5940F4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834" w:type="pct"/>
          </w:tcPr>
          <w:p w14:paraId="16F458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12.1</w:t>
            </w:r>
          </w:p>
        </w:tc>
        <w:tc>
          <w:tcPr>
            <w:tcW w:w="3751" w:type="pct"/>
          </w:tcPr>
          <w:p w14:paraId="70C023D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确定中标候选人名单：</w:t>
            </w:r>
          </w:p>
          <w:p w14:paraId="69E0455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采购包1：1名</w:t>
            </w:r>
          </w:p>
        </w:tc>
      </w:tr>
      <w:tr w14:paraId="68209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455AA1F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834" w:type="pct"/>
          </w:tcPr>
          <w:p w14:paraId="5A05FD6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12.2</w:t>
            </w:r>
          </w:p>
        </w:tc>
        <w:tc>
          <w:tcPr>
            <w:tcW w:w="3751" w:type="pct"/>
          </w:tcPr>
          <w:p w14:paraId="37F9DF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本项目中标人的确定（以采购包为单位）：</w:t>
            </w:r>
          </w:p>
          <w:p w14:paraId="2221741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 采购人应在政府采购招投标管理办法规定的时限内确定中标人。</w:t>
            </w:r>
          </w:p>
          <w:p w14:paraId="60F925A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（2）若出现中标候选人并列情形，则按照下列方式确定中标人：</w:t>
            </w:r>
          </w:p>
          <w:p w14:paraId="18BBF6C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①招标文件规定的方式：</w:t>
            </w:r>
          </w:p>
          <w:p w14:paraId="04574B0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若有相同的最高得分，则其中投标总价低的投标人将被排序在前；若有相同的最高得分且投标报价相同的，则按技术部分得分从高到低顺序进行排列，技术部分得分最高的投标人将被排序在前。</w:t>
            </w:r>
          </w:p>
          <w:p w14:paraId="2EB3D3B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②若本款第①点规定方式为“无”，则按照下列方式确定：</w:t>
            </w:r>
          </w:p>
          <w:p w14:paraId="65CF9FF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797B758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③若本款第①、②点规定方式均为“无”，则按照下列方式确定：随机抽取。</w:t>
            </w:r>
          </w:p>
          <w:p w14:paraId="2EF11AF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（3）本项目确定的中标人家数：</w:t>
            </w:r>
          </w:p>
          <w:p w14:paraId="73D3AF9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采购包1：1名</w:t>
            </w:r>
          </w:p>
        </w:tc>
      </w:tr>
      <w:tr w14:paraId="0984F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00B7F03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834" w:type="pct"/>
          </w:tcPr>
          <w:p w14:paraId="2674F66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13.2</w:t>
            </w:r>
          </w:p>
        </w:tc>
        <w:tc>
          <w:tcPr>
            <w:tcW w:w="3751" w:type="pct"/>
          </w:tcPr>
          <w:p w14:paraId="627AA21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合同签订时限： 自中标通知书发出之日起30个日历日内。</w:t>
            </w:r>
          </w:p>
        </w:tc>
      </w:tr>
      <w:tr w14:paraId="271FA8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0F0CC8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834" w:type="pct"/>
          </w:tcPr>
          <w:p w14:paraId="4BA5CBB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15.1-（2）</w:t>
            </w:r>
          </w:p>
        </w:tc>
        <w:tc>
          <w:tcPr>
            <w:tcW w:w="3751" w:type="pct"/>
          </w:tcPr>
          <w:p w14:paraId="1FA5498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质疑函原件应采用下列方式提交：书面形式。</w:t>
            </w:r>
          </w:p>
        </w:tc>
      </w:tr>
      <w:tr w14:paraId="39584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67C8ED3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834" w:type="pct"/>
          </w:tcPr>
          <w:p w14:paraId="4612F6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15.4</w:t>
            </w:r>
          </w:p>
        </w:tc>
        <w:tc>
          <w:tcPr>
            <w:tcW w:w="3751" w:type="pct"/>
          </w:tcPr>
          <w:p w14:paraId="7D7AEED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招标文件的质疑</w:t>
            </w:r>
          </w:p>
          <w:p w14:paraId="56889B3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（1）潜在投标人可在质疑时效期间内对招标文件以书面形式提出质疑。</w:t>
            </w:r>
          </w:p>
          <w:p w14:paraId="16AE975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（2）质疑时效期间：应在依法获取招标文件之日起7个工作日内向 福建华真招标代理有限公司 提出，依法获取招标文件的时间以福建省政府采购网上公开信息系统记载的为准。</w:t>
            </w:r>
          </w:p>
          <w:p w14:paraId="7DDDCD3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※除上述规定外，对招标文件提出的质疑还应符合招标文件第三章第15.1条的有关规定。</w:t>
            </w:r>
          </w:p>
        </w:tc>
      </w:tr>
      <w:tr w14:paraId="0C2DB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6EA3952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834" w:type="pct"/>
          </w:tcPr>
          <w:p w14:paraId="7BE0621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16.1</w:t>
            </w:r>
          </w:p>
        </w:tc>
        <w:tc>
          <w:tcPr>
            <w:tcW w:w="3751" w:type="pct"/>
          </w:tcPr>
          <w:p w14:paraId="7EB0CAB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监督管理部门： 福建省财政厅政府采购监督管理办公室 （仅限依法进行政府采购的货物或服务类项目）。</w:t>
            </w:r>
          </w:p>
        </w:tc>
      </w:tr>
      <w:tr w14:paraId="46D4F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27E5CEB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p>
        </w:tc>
        <w:tc>
          <w:tcPr>
            <w:tcW w:w="834" w:type="pct"/>
          </w:tcPr>
          <w:p w14:paraId="0F0E51C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18.1</w:t>
            </w:r>
          </w:p>
        </w:tc>
        <w:tc>
          <w:tcPr>
            <w:tcW w:w="3751" w:type="pct"/>
          </w:tcPr>
          <w:p w14:paraId="414440D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财政部和福建省财政厅指定的政府采购信息发布媒体（以下简称：“指定媒体”）：</w:t>
            </w:r>
          </w:p>
          <w:p w14:paraId="7E7C3C0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（1）中国政府采购网，网址www.ccgp.gov.cn。</w:t>
            </w:r>
          </w:p>
          <w:p w14:paraId="54A208B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（2）中国政府采购网福建分网（福建省政府采购网），网址zfcg.czt.fujian.gov.cn。</w:t>
            </w:r>
          </w:p>
          <w:p w14:paraId="29ABDB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※若出现上述指定媒体信息不一致情形，应以中国政府采购网福建分网（福建省政府采购网）发布的为准。</w:t>
            </w:r>
          </w:p>
        </w:tc>
      </w:tr>
      <w:tr w14:paraId="04BBF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5B5B01D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w:t>
            </w:r>
          </w:p>
        </w:tc>
        <w:tc>
          <w:tcPr>
            <w:tcW w:w="834" w:type="pct"/>
          </w:tcPr>
          <w:p w14:paraId="21ED7EA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w:t>
            </w:r>
          </w:p>
        </w:tc>
        <w:tc>
          <w:tcPr>
            <w:tcW w:w="3751" w:type="pct"/>
          </w:tcPr>
          <w:p w14:paraId="67B0AC5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其他事项：</w:t>
            </w:r>
          </w:p>
          <w:p w14:paraId="2A949BB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(1)本项目代理服务费：</w:t>
            </w:r>
          </w:p>
          <w:p w14:paraId="1FFB5A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本项目收取代理服务费</w:t>
            </w:r>
          </w:p>
          <w:p w14:paraId="2AA72A4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代理服务费用收取对象：中标/成交供应商</w:t>
            </w:r>
          </w:p>
          <w:p w14:paraId="3EE9556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代理服务费收费标准：①以采购包的中标金额为计算基数，按照差额定率累进法计算收取（货物计费标准：100万元以下费率1.5%；100-500万元费率1.1%；500-1000万元费率0.8%）；②中标人应在领取中标通知书前应先以转账或电汇付款方式一次性向招标代理机构缴纳招标代理服务费。③招标代理服务费缴交账户名：福建华真招标代理有限公司，开户行：招商银行股份有限公司福州仓山支行，账号：5919 0615 1310 806。④中标人应在领取中标通知书的同时提交2套的纸质投标文件（纸质投标文件应与电子投标文件一致）。</w:t>
            </w:r>
          </w:p>
          <w:p w14:paraId="58B2DA7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(2)其他：</w:t>
            </w:r>
          </w:p>
          <w:p w14:paraId="6259DC5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①投标人需在法定质疑期内一次性提出针对同一采购程序环节质疑，否则重复提交的质疑函将不予接收。 ②开具发票事宜： 1. 发票类型：本项目代理机构为中标/成交供应商开具增值税普通发票。 2. 开票前提：发票将在相关费用（如代理服务费等） 全额通过对公转账方式支付至我司指定账户后，依申请开具。 3. 信息准确性：中标/成交供应商有义务在申请开票时，提供准确无误的开票信息（包括但不限于单位名称、纳税人识别号、地址、电话、开户行及账号）。请务必仔细核对。因中标/成交供应商提供的开票信息有误导致发票内容错误的，我司有权要求中标/成交供应商收回原发票并重新提供准确信息，由此产生的换票、补开费用由中标/成交供应商承担。 4. 开票时效： 我司将在收到款项并确认开票信息后，在合理工作日内完成发票开具。</w:t>
            </w:r>
          </w:p>
        </w:tc>
      </w:tr>
      <w:tr w14:paraId="139E17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8" w:type="pct"/>
            <w:gridSpan w:val="2"/>
          </w:tcPr>
          <w:p w14:paraId="5C09F2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751" w:type="pct"/>
          </w:tcPr>
          <w:p w14:paraId="2CAA96C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后有投标人须知前附表2，请勿遗漏。</w:t>
            </w:r>
          </w:p>
        </w:tc>
      </w:tr>
    </w:tbl>
    <w:p w14:paraId="6B2A4D62">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二、投标人须知前附表2</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9137"/>
      </w:tblGrid>
      <w:tr w14:paraId="38E73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586A537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关于电子招标投标活动的专门规定</w:t>
            </w:r>
          </w:p>
        </w:tc>
      </w:tr>
      <w:tr w14:paraId="4E2B2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4" w:type="pct"/>
          </w:tcPr>
          <w:p w14:paraId="7766C3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4585" w:type="pct"/>
          </w:tcPr>
          <w:p w14:paraId="5CE322B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编列内容</w:t>
            </w:r>
          </w:p>
        </w:tc>
      </w:tr>
      <w:tr w14:paraId="13F93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4" w:type="pct"/>
          </w:tcPr>
          <w:p w14:paraId="1504390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4585" w:type="pct"/>
          </w:tcPr>
          <w:p w14:paraId="06DCA18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（1）电子招标投标活动的专门规定适用本项目电子招标投标活动。</w:t>
            </w:r>
          </w:p>
          <w:p w14:paraId="5CCE180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（2）将招标文件</w:t>
            </w:r>
          </w:p>
          <w:p w14:paraId="79DF573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 的内容修正为下列内容：</w:t>
            </w:r>
          </w:p>
          <w:p w14:paraId="6E12AAC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 后适用本项目的电子招标投标活动。</w:t>
            </w:r>
          </w:p>
          <w:p w14:paraId="54CA3A5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（3）将下列内容增列为招标文件的组成部分（以下简称：“增列内容”）适用本项目的电子招标投标活动，若增列内容与招标文件其他章节内容有冲突，应以增列内容为准：</w:t>
            </w:r>
          </w:p>
          <w:p w14:paraId="3962AA3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①电子招标投标活动的具体操作流程以福建省政府采购网上公开信息系统设定的为准。</w:t>
            </w:r>
          </w:p>
          <w:p w14:paraId="5F8E21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②关于电子投标文件：</w:t>
            </w:r>
          </w:p>
          <w:p w14:paraId="201C877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a.投标人应按照福建省政府采购网上公开信息系统设定的评审节点编制电子投标文件，否则资格审查小组、评标委员会将按照不利于投标人的内容进行认定。</w:t>
            </w:r>
          </w:p>
          <w:p w14:paraId="25EBA16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4E886BA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③关于证明材料或资料：</w:t>
            </w:r>
          </w:p>
          <w:p w14:paraId="2B52D65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3B62805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b.若投标人提供注明“复印件无效”或“复印无效”的证明材料或资料，应结合上文a条款进行判定，若招标文件未要求投标人提供原件，投标人提供原件，复印件（含扫描件）均视为满足招标文件要求。</w:t>
            </w:r>
          </w:p>
          <w:p w14:paraId="1AC48E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④关于“全称”、“投标人代表签字”及“加盖单位公章”：</w:t>
            </w:r>
          </w:p>
          <w:p w14:paraId="2DCCD48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a.在电子投标文件中，涉及“全称”和“投标人代表签字”的内容可使用打字录入方式完成。</w:t>
            </w:r>
          </w:p>
          <w:p w14:paraId="727AEE9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b.在电子投标文件中，涉及“加盖单位公章”的内容应使用投标人的CA证书完成，否则投标无效。</w:t>
            </w:r>
          </w:p>
          <w:p w14:paraId="1629FFC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c.在电子投标文件中，若投标人按照本增列内容第④点第b项规定加盖其单位公章，则出现无全称、或投标人代表未签字等情形，不视为投标无效。</w:t>
            </w:r>
          </w:p>
          <w:p w14:paraId="407BAB3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⑤关于投标人的CA证书：</w:t>
            </w:r>
          </w:p>
          <w:p w14:paraId="58DCE07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a.投标人的CA证书应在系统规定时间内使用CA证书进行电子投标文件的解密操作，逾期未解密的视为放弃投标。</w:t>
            </w:r>
          </w:p>
          <w:p w14:paraId="0CF9D33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b.投标人的CA证书可采用信封（包括但不限于：信封、档案袋、文件袋等）作为外包装进行单独包装。外包装密封、不密封皆可。</w:t>
            </w:r>
          </w:p>
          <w:p w14:paraId="28A3442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c.投标人的CA证书或外包装应标记“项目名称、项目编号、投标人的全称”等内容，以方便识别、使用。</w:t>
            </w:r>
          </w:p>
          <w:p w14:paraId="0B51BF9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d.投标人的CA证书应能正常、有效使用，否则产生不利后果由投标人承担责任。</w:t>
            </w:r>
          </w:p>
          <w:p w14:paraId="6AAB42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⑥关于投标截止时间过后</w:t>
            </w:r>
          </w:p>
          <w:p w14:paraId="446C607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a.未按招标文件规定提交投标保证金的，其投标将按无效投标处理。</w:t>
            </w:r>
          </w:p>
          <w:p w14:paraId="0EB30BF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b.有下列情形之一的，其投标无效,其保证金不予退还或通过投标保函进行索赔：</w:t>
            </w:r>
          </w:p>
          <w:p w14:paraId="4163E3D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b1不同投标人的电子投标文件具有相同内部识别码；</w:t>
            </w:r>
          </w:p>
          <w:p w14:paraId="1E8EB9A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b2不同投标人的投标保证金从同一单位或个人的账户转出；</w:t>
            </w:r>
          </w:p>
          <w:p w14:paraId="79C387D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b3投标人的投标保证金同一采购包下有其他投标人提交的投标保证金；</w:t>
            </w:r>
          </w:p>
          <w:p w14:paraId="5BDC528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b4不同投标人存在串通投标的其他情形。</w:t>
            </w:r>
          </w:p>
          <w:p w14:paraId="58F1F8A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⑦接受联合体投标且投标人为联合体的，投标人应由“联合体牵头方”完成福建省政府采购网上公开信息系统设定的具体操作流程（包括但不限于：招标文件获取、提交投标保证金、编制电子投标文件等）。</w:t>
            </w:r>
          </w:p>
          <w:p w14:paraId="7FD15DE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⑧其他：</w:t>
            </w:r>
          </w:p>
          <w:p w14:paraId="6A912B1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（1）投标人的公司名称（系统注册名称）应与CA证书公司名称、电子投标文件投标人名称、保证金来源账户名称保持一致，否则视为投标无效，请各投标人注意。 （2）本项目允许投标人远程解密: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解密时限规定为30分钟，签章时间为10分钟，请投标人务必密切关注实时开标流程，并根据流程在系统内按时操作，否则产生的后果由投标人自行承担。</w:t>
            </w:r>
          </w:p>
        </w:tc>
      </w:tr>
    </w:tbl>
    <w:p w14:paraId="0E97CF11">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第三章 投标人须知</w:t>
      </w:r>
    </w:p>
    <w:p w14:paraId="497F63FD">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一、总则</w:t>
      </w:r>
    </w:p>
    <w:p w14:paraId="1709B95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1、适用范围</w:t>
      </w:r>
    </w:p>
    <w:p w14:paraId="3D856A0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1.1适用于招标文件载明项目的政府采购活动（以下简称：“本次采购活动”）。</w:t>
      </w:r>
    </w:p>
    <w:p w14:paraId="4DD13FA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2、定义</w:t>
      </w:r>
    </w:p>
    <w:p w14:paraId="4535FE5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2.1“采购标的”指招标文件载明的需要采购的货物或服务。</w:t>
      </w:r>
    </w:p>
    <w:p w14:paraId="0C16F70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2.2“潜在投标人”指按照招标文件第一章第7条规定获取招标文件且有意向参加本项目投标的供应商。</w:t>
      </w:r>
    </w:p>
    <w:p w14:paraId="3F59D71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2.3“投标人”指按照招标文件第一章第7条规定获取招标文件并参加本项目投标的供应商。</w:t>
      </w:r>
    </w:p>
    <w:p w14:paraId="7F53FE5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2.4“单位负责人”指单位法定代表人或法律、法规规定代表单位行使职权的主要负责人。</w:t>
      </w:r>
    </w:p>
    <w:p w14:paraId="0236E02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2.5“投标人代表”指投标人的单位负责人或“单位负责人授权书”中载明的接受授权方。</w:t>
      </w:r>
    </w:p>
    <w:p w14:paraId="76E350BA">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w:t>
      </w:r>
    </w:p>
    <w:p w14:paraId="26DBC54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3、合格投标人</w:t>
      </w:r>
    </w:p>
    <w:p w14:paraId="59023F0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3.1一般规定</w:t>
      </w:r>
    </w:p>
    <w:p w14:paraId="2E5CEF8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344AFE8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22A4A3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（2）投标人的资格要求：详见招标文件第一章。</w:t>
      </w:r>
    </w:p>
    <w:p w14:paraId="343D04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3.2若本项目接受联合体投标且投标人为联合体，则联合体各方应遵守本章第3.1条规定，同时还应遵守下列规定：</w:t>
      </w:r>
    </w:p>
    <w:p w14:paraId="39093A9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（1）联合体各方应提交联合体协议，联合体协议应符合招标文件规定。</w:t>
      </w:r>
    </w:p>
    <w:p w14:paraId="56570B5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（2）联合体各方不得再单独参加或与其他供应商另外组成联合体参加同一合同项下的投标。</w:t>
      </w:r>
    </w:p>
    <w:p w14:paraId="01EE69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（3）联合体各方应共同与采购人签订政府采购合同，就政府采购合同约定的事项对采购人承担连带责任。</w:t>
      </w:r>
    </w:p>
    <w:p w14:paraId="3359198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4225B1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（5）联合体一方放弃中标的，视为联合体整体放弃中标，联合体各方承担连带责任。</w:t>
      </w:r>
    </w:p>
    <w:p w14:paraId="6975EE4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（6）如本项目不接受联合体投标而投标人为联合体的，或者本项目接受联合体投标但投标人组成的联合体不符合本章第3.2条规定的，投标无效。</w:t>
      </w:r>
    </w:p>
    <w:p w14:paraId="65DF90A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4、投标费用</w:t>
      </w:r>
    </w:p>
    <w:p w14:paraId="1C2F195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4.1除招标文件另有规定外，投标人应自行承担其参加本项目投标所涉及的一切费用。</w:t>
      </w:r>
    </w:p>
    <w:p w14:paraId="7F9407BE">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w:t>
      </w:r>
    </w:p>
    <w:p w14:paraId="365BD3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5、招标文件</w:t>
      </w:r>
    </w:p>
    <w:p w14:paraId="1A388F4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5.1招标文件由下述部分组成：</w:t>
      </w:r>
    </w:p>
    <w:p w14:paraId="4D8E6F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（1）投标邀请</w:t>
      </w:r>
    </w:p>
    <w:p w14:paraId="067A907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（2）投标人须知前附表（表1、2）</w:t>
      </w:r>
    </w:p>
    <w:p w14:paraId="7AD9A49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（3）投标人须知</w:t>
      </w:r>
    </w:p>
    <w:p w14:paraId="734798C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（4）资格审查与评标</w:t>
      </w:r>
    </w:p>
    <w:p w14:paraId="154C24A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（5）招标内容及要求</w:t>
      </w:r>
    </w:p>
    <w:p w14:paraId="4CE8BB4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（6）政府采购合同（参考文本）</w:t>
      </w:r>
    </w:p>
    <w:p w14:paraId="04B583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（7）电子投标文件格式</w:t>
      </w:r>
    </w:p>
    <w:p w14:paraId="26D3B6A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（8）按照招标文件规定作为招标文件组成部分的其他内容（若有）</w:t>
      </w:r>
    </w:p>
    <w:p w14:paraId="0B56D72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5.2招标文件的澄清或修改</w:t>
      </w:r>
    </w:p>
    <w:p w14:paraId="035E938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 福建华真招标代理有限公司 可对已发出的招标文件进行必要的澄清或修改，但不得对招标文件载明的采购标的和投标人的资格要求进行改变。</w:t>
      </w:r>
    </w:p>
    <w:p w14:paraId="3073FB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（2）除本章第5.2条第（3）款规定情形外，澄清或修改的内容可能影响电子投标文件编制的， 福建华真招标代理有限公司 将在投标截止时间至少15个日历日前，在招标文件载明的指定媒体以更正公告的形式发布澄清或修改的内容。不足15个日历日的， 福建华真招标代理有限公司 将顺延投标截止时间及开标时间， 福建华真招标代理有限公司 和投标人受原投标截止时间及开标时间制约的所有权利和义务均延长至新的投标截止时间及开标时间。</w:t>
      </w:r>
    </w:p>
    <w:p w14:paraId="3BA9731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（3）澄清或修改的内容可能改变招标文件载明的采购标的和投标人的资格要求的，本次采购活动结束， 福建华真招标代理有限公司 将依法组织后续采购活动（包括但不限于：重新招标、采用其他方式采购等）。</w:t>
      </w:r>
    </w:p>
    <w:p w14:paraId="7E68A11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6、现场考察或开标前答疑会</w:t>
      </w:r>
    </w:p>
    <w:p w14:paraId="2F51613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6.1是否组织现场考察或召开开标前答疑会：详见招标文件第二章。</w:t>
      </w:r>
    </w:p>
    <w:p w14:paraId="2CE0673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7、更正公告</w:t>
      </w:r>
    </w:p>
    <w:p w14:paraId="2460DE6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7.1若 福建华真招标代理有限公司 发布更正公告，则更正公告及其所发布的内容或信息（包括但不限于：招标文件的澄清或修改、现场考察或答疑会的有关事宜等）作为招标文件组成部分，对投标人具有约束力。</w:t>
      </w:r>
    </w:p>
    <w:p w14:paraId="746B557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7.2更正公告作为 福建华真招标代理有限公司 通知所有潜在投标人的书面形式。</w:t>
      </w:r>
    </w:p>
    <w:p w14:paraId="7D4E4D7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8、终止公告</w:t>
      </w:r>
    </w:p>
    <w:p w14:paraId="551BC63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8.1若出现因重大变故导致采购任务取消情形， 福建华真招标代理有限公司 可终止招标并发布终止公告。</w:t>
      </w:r>
    </w:p>
    <w:p w14:paraId="0FC7F2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8.2终止公告作为 福建华真招标代理有限公司 通知所有潜在投标人的书面形式。</w:t>
      </w:r>
    </w:p>
    <w:p w14:paraId="3AEC0216">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w:t>
      </w:r>
    </w:p>
    <w:p w14:paraId="67FC3F8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9、投标</w:t>
      </w:r>
    </w:p>
    <w:p w14:paraId="5BE055A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9.1投标人可对招标文件载明的全部或部分采购包进行投标。</w:t>
      </w:r>
    </w:p>
    <w:p w14:paraId="40D1E7D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9.2投标人应对同一个采购包内的所有内容进行完整投标，否则投标无效。</w:t>
      </w:r>
    </w:p>
    <w:p w14:paraId="04FFA56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9.3投标人代表只能接受一个投标人的授权参加投标，否则投标无效。</w:t>
      </w:r>
    </w:p>
    <w:p w14:paraId="23C940D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9.4单位负责人为同一人或存在直接控股、管理关系的不同供应商，不得同时参加同一合同项下的投标，否则投标无效。</w:t>
      </w:r>
    </w:p>
    <w:p w14:paraId="3088FF0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9.5为本项目提供整体设计、规范编制或项目管理、监理、检测等服务的供应商，不得参加本项目除整体设计、规范编制和项目管理、监理、检测等服务外的采购活动，否则投标无效。</w:t>
      </w:r>
    </w:p>
    <w:p w14:paraId="38440E8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9.6列入失信被执行人、重大税收违法案件当事人名单、政府采购严重违法失信行为记录名单及其他不符合政府采购法第二十二条规定条件的供应商，不得参加投标，否则投标无效。</w:t>
      </w:r>
    </w:p>
    <w:p w14:paraId="5298DEF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9.7有下列情形之一的，视为投标人串通投标，其投标无效：</w:t>
      </w:r>
    </w:p>
    <w:p w14:paraId="4FA5115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（1）不同投标人的电子投标文件由同一单位或个人编制；</w:t>
      </w:r>
    </w:p>
    <w:p w14:paraId="7AB7948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（2）不同投标人委托同一单位或个人办理投标事宜；</w:t>
      </w:r>
    </w:p>
    <w:p w14:paraId="091D337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（3）不同投标人的电子投标文件载明的项目管理成员或联系人员为同一人；</w:t>
      </w:r>
    </w:p>
    <w:p w14:paraId="736AC58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（4）不同投标人的电子投标文件异常一致或投标报价呈规律性差异；</w:t>
      </w:r>
    </w:p>
    <w:p w14:paraId="4D1C263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（5）不同投标人的电子投标文件相互混装；</w:t>
      </w:r>
    </w:p>
    <w:p w14:paraId="17EF3AD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（6）不同投标人的投标保证金从同一单位或个人的账户转出；</w:t>
      </w:r>
    </w:p>
    <w:p w14:paraId="18A32D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（7）有关法律、法规和规章及招标文件规定的其他串通投标情形。</w:t>
      </w:r>
    </w:p>
    <w:p w14:paraId="06CCF7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10、电子投标文件</w:t>
      </w:r>
    </w:p>
    <w:p w14:paraId="061861F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10.1电子投标文件的编制</w:t>
      </w:r>
    </w:p>
    <w:p w14:paraId="0D1B7B8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（1）投标人应先仔细阅读招标文件的全部内容后，再进行电子投标文件的编制。</w:t>
      </w:r>
    </w:p>
    <w:p w14:paraId="78A76E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（2）电子投标文件应按照本章第10.2条规定编制其组成部分。</w:t>
      </w:r>
    </w:p>
    <w:p w14:paraId="4CA7568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（3）电子投标文件应满足招标文件提出的实质性要求和条件，并保证其所提交的全部资料是不可割离且真实、有效、准确、完整和不具有任何误导性的，否则造成不利后果由投标人承担责任。</w:t>
      </w:r>
    </w:p>
    <w:p w14:paraId="530CB6B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10.2电子投标文件由下述部分组成：</w:t>
      </w:r>
    </w:p>
    <w:p w14:paraId="20E76C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25BF8A9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364F172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20A447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796E908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7CFDACB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000EEC1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72E4004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2FF3256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46DDCD3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677302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535AB6A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4339927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5E40A37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5691942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⑤招标文件规定作为电子投标文件组成部分的其他内容（若有）</w:t>
      </w:r>
    </w:p>
    <w:p w14:paraId="4803141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10.3电子投标文件的语言</w:t>
      </w:r>
    </w:p>
    <w:p w14:paraId="667727B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（1）除招标文件另有规定外，电子投标文件应使用中文文本，若有不同文本，以中文文本为准。</w:t>
      </w:r>
    </w:p>
    <w:p w14:paraId="12CE1E4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80481B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10.4投标文件的份数：详见招标文件第二章。</w:t>
      </w:r>
    </w:p>
    <w:p w14:paraId="1DFDB90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10.5电子投标文件的格式</w:t>
      </w:r>
    </w:p>
    <w:p w14:paraId="611ADB0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（1）除招标文件另有规定外，电子投标文件应使用招标文件第七章规定的格式。</w:t>
      </w:r>
    </w:p>
    <w:p w14:paraId="0914BBB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（2）除招标文件另有规定外，电子投标文件应使用不能擦去的墨料或墨水打印、书写或复印。</w:t>
      </w:r>
    </w:p>
    <w:p w14:paraId="70D56B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（3）除招标文件另有规定外，电子投标文件应使用人民币作为计量货币。</w:t>
      </w:r>
    </w:p>
    <w:p w14:paraId="4FE2ED5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（4）除招标文件另有规定外，签署、盖章应遵守下列规定：</w:t>
      </w:r>
    </w:p>
    <w:p w14:paraId="442FC26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①电子投标文件应加盖投标人的单位公章。若投标人代表为单位授权的委托代理人，应提供“单位授权书”。</w:t>
      </w:r>
    </w:p>
    <w:p w14:paraId="6394010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②电子投标文件应没有涂改或行间插字，除非这些改动是根据 福建华真招标代理有限公司 的指示进行的，或是为改正投标人造成的应修改的错误而进行的。若有前述改动，应按照下列规定之一对改动处进行处理：</w:t>
      </w:r>
    </w:p>
    <w:p w14:paraId="41FADE1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a.投标人代表签字确认；</w:t>
      </w:r>
    </w:p>
    <w:p w14:paraId="55CE531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b.加盖投标人的单位公章或校正章。</w:t>
      </w:r>
    </w:p>
    <w:p w14:paraId="58A98D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10.6投标报价</w:t>
      </w:r>
    </w:p>
    <w:p w14:paraId="12CD49A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（1）投标报价超出最高限价将导致投标无效。</w:t>
      </w:r>
    </w:p>
    <w:p w14:paraId="26AD53C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（2）最高限价由采购人根据价格测算情况，在预算金额的额度内合理设定。最高限价不得超出预算金额。</w:t>
      </w:r>
    </w:p>
    <w:p w14:paraId="49968F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（3）除招标文件另有规定外，电子投标文件不能出现任何选择性的投标报价，即每一个采购包和品目号的采购标的都只能有一个投标报价。任何选择性的投标报价将导致投标无效。</w:t>
      </w:r>
    </w:p>
    <w:p w14:paraId="3AD0FD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10.7分包</w:t>
      </w:r>
    </w:p>
    <w:p w14:paraId="5D4E98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（1）是否允许中标人将本项目的非主体、非关键性工作进行分包：详见招标文件第二章。</w:t>
      </w:r>
    </w:p>
    <w:p w14:paraId="110FBB4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39E00D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（3）招标文件允许中标人将非主体、非关键性工作进行分包的项目，有下列情形之一的，中标人不得分包：</w:t>
      </w:r>
    </w:p>
    <w:p w14:paraId="0B56B55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①电子投标文件中未载明分包承担主体；</w:t>
      </w:r>
    </w:p>
    <w:p w14:paraId="70497CD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②电子投标文件载明的分包承担主体不具备相应资质条件；</w:t>
      </w:r>
    </w:p>
    <w:p w14:paraId="5F02E14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③电子投标文件载明的分包承担主体拟再次分包；</w:t>
      </w:r>
    </w:p>
    <w:p w14:paraId="4526C25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④享受中小企业扶持政策获得政府采购合同的，小微企业不得将合同分包给大中型企业，中型企业不得将合同分包给大型企业。</w:t>
      </w:r>
    </w:p>
    <w:p w14:paraId="549F00C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10.8投标有效期</w:t>
      </w:r>
    </w:p>
    <w:p w14:paraId="749922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（1）招标文件载明的投标有效期：详见招标文件第二章。</w:t>
      </w:r>
    </w:p>
    <w:p w14:paraId="14F8A1E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（2）电子投标文件承诺的投标有效期不得少于招标文件载明的投标有效期，否则投标无效。</w:t>
      </w:r>
    </w:p>
    <w:p w14:paraId="4FF8D82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（3）根据本次采购活动的需要， 福建华真招标代理有限公司 可于投标有效期届满之前书面要求投标人延长投标有效期，投标人应在 福建华真招标代理有限公司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6D7FF36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10.9投标保证金</w:t>
      </w:r>
    </w:p>
    <w:p w14:paraId="11C0EF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（1）投标保证金作为投标人按照招标文件规定履行相应投标责任、义务的约束及担保。</w:t>
      </w:r>
    </w:p>
    <w:p w14:paraId="7B9FDF8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（2）投标人以电子保函形式提交投标保证金的，保函的有效期应等于或长于电子投标文件承诺的投标有效期，否则投标无效。</w:t>
      </w:r>
    </w:p>
    <w:p w14:paraId="148D552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（3）提交</w:t>
      </w:r>
    </w:p>
    <w:p w14:paraId="07278F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①投标人以汇款形式缴纳投标保证金的，应从其银行账户（基本存款账户）按照下列方式：公对公转账方式向招标文件载明的投标保证金账户提交投标保证金，具体金额详见招标文件第一章。</w:t>
      </w:r>
    </w:p>
    <w:p w14:paraId="5C72EC6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581CDB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③其他形式：</w:t>
      </w:r>
    </w:p>
    <w:p w14:paraId="401241B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4B0A6E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④若本项目接受联合体投标且投标人为联合体，则联合体中的牵头方应按照本章第10.9条第（3）款第①、②、③点规定提交投标保证金。</w:t>
      </w:r>
    </w:p>
    <w:p w14:paraId="03C0BCE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※除招标文件另有规定外，未按照上述规定提交投标保证金将导致资格审查不合格。</w:t>
      </w:r>
    </w:p>
    <w:p w14:paraId="3FAA3D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（4）退还</w:t>
      </w:r>
    </w:p>
    <w:p w14:paraId="69D48B4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①在投标截止时间前撤回已提交的电子投标文件的投标人，其投标保证金将在 福建华真招标代理有限公司 收到投标人书面撤回通知之日起5个工作日内退回原账户。</w:t>
      </w:r>
    </w:p>
    <w:p w14:paraId="7953574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②未中标人的投标保证金将在中标通知书发出之日起5个工作日内退回原账户。</w:t>
      </w:r>
    </w:p>
    <w:p w14:paraId="78B310E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③中标人的投标保证金将在政府采购合同签订之日起5个工作日内退回原账户；合同签订之日以福建省政府采购网上公开信息系统记载的为准。</w:t>
      </w:r>
    </w:p>
    <w:p w14:paraId="29A50CF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④终止招标的， 福建华真招标代理有限公司 将在终止公告发布之日起5个工作日内退回已收取的投标保证金及其在银行产生的孳息。</w:t>
      </w:r>
    </w:p>
    <w:p w14:paraId="5FCF13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⑤除招标文件另有规定外，质疑或投诉涉及的投标人，若投标保证金尚未退还，则待质疑或投诉处理完毕后不计利息原额退还。</w:t>
      </w:r>
    </w:p>
    <w:p w14:paraId="6C45EE5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※本章第10.9条第（4）款第①、②、③点规定的投标保证金退还时限不包括因投标人自身原因导致无法及时退还而增加的时间。</w:t>
      </w:r>
    </w:p>
    <w:p w14:paraId="4D333A9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6A523D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（6）有下列情形之一的，投标保证金将不予退还或通过投标保函进行索赔：</w:t>
      </w:r>
    </w:p>
    <w:p w14:paraId="4915E80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①投标人串通投标；</w:t>
      </w:r>
    </w:p>
    <w:p w14:paraId="1DBE650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②投标人提供虚假材料；</w:t>
      </w:r>
    </w:p>
    <w:p w14:paraId="1DBED4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③投标人采取不正当手段诋毁、排挤其他投标人；</w:t>
      </w:r>
    </w:p>
    <w:p w14:paraId="7343944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④投标截止时间后，投标人在投标有效期内撤销电子投标文件；</w:t>
      </w:r>
    </w:p>
    <w:p w14:paraId="5DE9970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⑤招标文件规定的其他不予退还情形；</w:t>
      </w:r>
    </w:p>
    <w:p w14:paraId="37053F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⑥中标人有下列情形之一的：</w:t>
      </w:r>
    </w:p>
    <w:p w14:paraId="75F5A46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a.除不可抗力外，因中标人自身原因未在中标通知书要求的期限内与采购人签订政府采购合同；</w:t>
      </w:r>
    </w:p>
    <w:p w14:paraId="03B15B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b.未按照招标文件、投标文件的约定签订政府采购合同或提交履约保证金。</w:t>
      </w:r>
    </w:p>
    <w:p w14:paraId="1230430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※若上述投标保证金不予退还情形给采购人（采购代理机构）造成损失，则投标人还要承担相应的赔偿责任。</w:t>
      </w:r>
    </w:p>
    <w:p w14:paraId="4C3E793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10.10电子投标文件的提交</w:t>
      </w:r>
    </w:p>
    <w:p w14:paraId="07E7631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（1）一个投标人只能提交一个电子投标文件，并按照招标文件第一章规定在系统上完成上传、解密操作。</w:t>
      </w:r>
    </w:p>
    <w:p w14:paraId="3EE1F6E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10.11电子投标文件的补充、修改或撤回</w:t>
      </w:r>
    </w:p>
    <w:p w14:paraId="7BFFECD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（1）投标截止时间前，投标人可对所提交的电子投标文件进行补充、修改或撤回，并书面通知 福建华真招标代理有限公司 。</w:t>
      </w:r>
    </w:p>
    <w:p w14:paraId="7428CE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（2）补充、修改的内容应按照本章第10.5条第（4）款规定进行签署、盖章，并按照本章第10.10条规定提交，否则将被拒收。</w:t>
      </w:r>
    </w:p>
    <w:p w14:paraId="34C54F5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※按照上述规定提交的补充、修改内容作为电子投标文件组成部分。</w:t>
      </w:r>
    </w:p>
    <w:p w14:paraId="471379B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10.12除招标文件另有规定外，有下列情形之一的，投标无效：</w:t>
      </w:r>
    </w:p>
    <w:p w14:paraId="2B03B48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（1）电子投标文件未按照招标文件要求签署、盖章；</w:t>
      </w:r>
    </w:p>
    <w:p w14:paraId="1CDF99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（2）不符合招标文件中规定的资格要求；</w:t>
      </w:r>
    </w:p>
    <w:p w14:paraId="5F62B97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（3）投标报价超过招标文件中规定的预算金额或最高限价；</w:t>
      </w:r>
    </w:p>
    <w:p w14:paraId="5F1E709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（4）电子投标文件含有采购人不能接受的附加条件；</w:t>
      </w:r>
    </w:p>
    <w:p w14:paraId="3FD0F2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（5）有关法律、法规和规章及招标文件规定的其他无效情形。</w:t>
      </w:r>
    </w:p>
    <w:p w14:paraId="69BEE0C3">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五、开标</w:t>
      </w:r>
    </w:p>
    <w:p w14:paraId="348191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11、开标</w:t>
      </w:r>
    </w:p>
    <w:p w14:paraId="51B297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福建华真招标代理有限公司 将在招标文件载明的开标时间及地点主持召开开标会，并邀请投标人参加。</w:t>
      </w:r>
    </w:p>
    <w:p w14:paraId="0ACEAD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11.2开标会的主持人、唱标人、记录人及其他工作人员（若有）均由 福建华真招标代理有限公司 派出，现场监督人员（若有）可由有关方面派出。</w:t>
      </w:r>
    </w:p>
    <w:p w14:paraId="638C5F4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BF286F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11.4开标会应遵守下列规定：</w:t>
      </w:r>
    </w:p>
    <w:p w14:paraId="569F024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DEDE5A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07D4089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（3）唱标结束后，参加现场开标会的投标人代表应对开标记录进行签字确认，通过远程参与开标流程的投标人须在系统远程签章开启后，在系统规定时间内对开标结果进行签章确认。</w:t>
      </w:r>
    </w:p>
    <w:p w14:paraId="4ACD8D6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B3AC1B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（5）若投标人未到开标现场参加开标会，也未通过远程参加开标会的，视同认可开标结果。</w:t>
      </w:r>
    </w:p>
    <w:p w14:paraId="79B7B71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福建华真招标代理有限公司 提出任何疑义或要求（包括质疑）。</w:t>
      </w:r>
    </w:p>
    <w:p w14:paraId="21B8359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11.5投标截止时间后，参加投标的投标人不足三家的，不进行开标。同时，本次采购活动结束， 福建华真招标代理有限公司 将依法组织后续采购活动（包括但不限于：重新招标、采用其他方式采购等）。</w:t>
      </w:r>
    </w:p>
    <w:p w14:paraId="15BFAB7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11.6投标截止时间后撤销投标的处理</w:t>
      </w:r>
    </w:p>
    <w:p w14:paraId="16E5ED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投标截止时间后，投标人在投标有效期内撤销投标的，其撤销投标的行为无效。</w:t>
      </w:r>
    </w:p>
    <w:p w14:paraId="36981039">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六、中标与政府采购合同</w:t>
      </w:r>
    </w:p>
    <w:p w14:paraId="1A5E962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12、中标</w:t>
      </w:r>
    </w:p>
    <w:p w14:paraId="2867B4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12.1本项目推荐的中标候选人家数：详见招标文件第二章。</w:t>
      </w:r>
    </w:p>
    <w:p w14:paraId="2EC6562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12.2本项目中标人的确定：详见招标文件第二章。</w:t>
      </w:r>
    </w:p>
    <w:p w14:paraId="085AD16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12.3中标公告</w:t>
      </w:r>
    </w:p>
    <w:p w14:paraId="3AE2471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（1）中标人确定之日起2个工作日内， 福建华真招标代理有限公司 将在招标文件载明的指定媒体以中标公告的形式发布中标结果。</w:t>
      </w:r>
    </w:p>
    <w:p w14:paraId="73D7E8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（2）中标公告的公告期限为1个工作日。</w:t>
      </w:r>
    </w:p>
    <w:p w14:paraId="04FD83B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12.4中标通知书</w:t>
      </w:r>
    </w:p>
    <w:p w14:paraId="4695CD0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（1）中标公告发布的同时， 福建华真招标代理有限公司 将向中标人发出中标通知书。</w:t>
      </w:r>
    </w:p>
    <w:p w14:paraId="7D17CBD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（2）中标通知书发出后，采购人不得违法改变中标结果，中标人无正当理由不得放弃中标。</w:t>
      </w:r>
    </w:p>
    <w:p w14:paraId="53F7735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13、政府采购合同</w:t>
      </w:r>
    </w:p>
    <w:p w14:paraId="05F35AD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B00CE1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13.2签订时限：详见须知前附表1的13.2。</w:t>
      </w:r>
    </w:p>
    <w:p w14:paraId="5844250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13.3政府采购合同的履行、违约责任和解决争议的方法等适用民法典。</w:t>
      </w:r>
    </w:p>
    <w:p w14:paraId="67AD690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13.4采购人与中标人应根据政府采购合同的约定依法履行合同义务。</w:t>
      </w:r>
    </w:p>
    <w:p w14:paraId="6DC2524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13.5政府采购合同履行过程中，采购人若需追加与合同标的相同的货物或服务，则追加采购金额不得超过原合同采购金额的10%。</w:t>
      </w:r>
    </w:p>
    <w:p w14:paraId="173F8B2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13.6中标人在政府采购合同履行过程中应遵守有关法律、法规和规章的强制性规定（即使前述强制性规定有可能在招标文件中未予列明）。</w:t>
      </w:r>
    </w:p>
    <w:p w14:paraId="75ADE329">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七、询问、质疑与投诉</w:t>
      </w:r>
    </w:p>
    <w:p w14:paraId="17651B6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14、询问</w:t>
      </w:r>
    </w:p>
    <w:p w14:paraId="20CDF1C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14.1潜在投标人或投标人对本次采购活动的有关事项若有疑问，可向 福建华真招标代理有限公司 提出询问， 福建华真招标代理有限公司 将按照政府采购法及实施条例的有关规定进行答复。</w:t>
      </w:r>
    </w:p>
    <w:p w14:paraId="622EB8E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15、质疑</w:t>
      </w:r>
    </w:p>
    <w:p w14:paraId="1A1851A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15.1针对同一采购程序环节的质疑应在政府采购法及实施条例的时限内一次性提出，对一个项目的不同采购包提出质疑的，应当将各采购包质疑事项集中在一份质疑函中提出，并同时符合下列条件：</w:t>
      </w:r>
    </w:p>
    <w:p w14:paraId="4896BEB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（1）对招标文件提出质疑的，质疑人应为潜在投标人，且两者的身份、名称等均应保持一致。对采购过程、结果提出质疑的，质疑人应为投标人，且两者的身份、名称等均应保持一致。</w:t>
      </w:r>
    </w:p>
    <w:p w14:paraId="1D45FFB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（2）质疑人应按照招标文件第二章规定方式提交质疑函。</w:t>
      </w:r>
    </w:p>
    <w:p w14:paraId="04F113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（3）质疑函应包括下列主要内容：</w:t>
      </w:r>
    </w:p>
    <w:p w14:paraId="5097CAA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①质疑人的基本信息，至少包括：全称、地址、邮政编码等；</w:t>
      </w:r>
    </w:p>
    <w:p w14:paraId="71A082C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②所质疑项目的基本信息，至少包括：项目编号、项目名称等；</w:t>
      </w:r>
    </w:p>
    <w:p w14:paraId="5C9B81E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③所质疑的具体事项（以下简称：“质疑事项”）；</w:t>
      </w:r>
    </w:p>
    <w:p w14:paraId="0A09491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④针对质疑事项提出的明确请求，前述明确请求指质疑人提出质疑的目的以及希望 福建华真招标代理有限公司 对其质疑作出的处理结果，如：暂停招标投标活动、修改招标文件、停止或纠正违法违规行为、中标结果无效、废标、重新招标等；</w:t>
      </w:r>
    </w:p>
    <w:p w14:paraId="177EF6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⑤针对质疑事项导致质疑人自身权益受到损害的必要证明材料，至少包括：</w:t>
      </w:r>
    </w:p>
    <w:p w14:paraId="5350D8D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a.质疑人代表的身份证明材料：</w:t>
      </w:r>
    </w:p>
    <w:p w14:paraId="32916A5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27DFCA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a2若本项目接受自然人投标且质疑人为自然人的，提供本人的身份证复印件。</w:t>
      </w:r>
    </w:p>
    <w:p w14:paraId="68FB1BE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b.其他证明材料（即事实依据和必要的法律依据）包括但不限于下列材料：</w:t>
      </w:r>
    </w:p>
    <w:p w14:paraId="49DD3A8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b1所质疑的具体事项是与自己有利害关系的证明材料；</w:t>
      </w:r>
    </w:p>
    <w:p w14:paraId="36F627C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b2质疑函所述事实存在的证明材料，如：采购文件、采购过程或中标结果违法违规或不符合采购文件要求等证明材料；</w:t>
      </w:r>
    </w:p>
    <w:p w14:paraId="7BF33A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b3依法应终止采购程序的证明材料；</w:t>
      </w:r>
    </w:p>
    <w:p w14:paraId="04AD10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b4应重新采购的证明材料；</w:t>
      </w:r>
    </w:p>
    <w:p w14:paraId="40DC71F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b5采购文件、采购过程或中标、成交结果损害自己合法权益的证明材料等；</w:t>
      </w:r>
    </w:p>
    <w:p w14:paraId="0D20626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75DEF3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⑥质疑人代表及其联系方法的信息，至少包括：姓名、手机、电子信箱、邮寄地址等。</w:t>
      </w:r>
    </w:p>
    <w:p w14:paraId="4FD570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⑦提出质疑的日期。</w:t>
      </w:r>
    </w:p>
    <w:p w14:paraId="1E6C56C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※质疑人为法人或其他组织的，质疑函应由单位负责人或委托代理人签字或盖章，并加盖投标人的单位公章。质疑人为自然人的，质疑函应由本人签字。</w:t>
      </w:r>
    </w:p>
    <w:p w14:paraId="31BDAB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15.2对不符合本章第15.1条规定的质疑，将按照下列规定进行处理：</w:t>
      </w:r>
    </w:p>
    <w:p w14:paraId="2DC987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（1）不符合其中第（1）、（2）条规定的，书面告知质疑人不予受理及其理由。</w:t>
      </w:r>
    </w:p>
    <w:p w14:paraId="0221BBC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（2）不符合其中第（3）条规定的，书面告知质疑人修改、补充后在规定时限内重新提交质疑函。</w:t>
      </w:r>
    </w:p>
    <w:p w14:paraId="4F4094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15.3对符合本章第15.1条规定的质疑，将按照政府采购法及实施条例、政府采购质疑和投诉办法的有关规定进行答复。</w:t>
      </w:r>
    </w:p>
    <w:p w14:paraId="64B5A78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15.4招标文件的质疑：详见招标文件第二章。</w:t>
      </w:r>
    </w:p>
    <w:p w14:paraId="43CB1CE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16、投诉</w:t>
      </w:r>
    </w:p>
    <w:p w14:paraId="0CF2FC6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03A558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16.2投诉应有明确的请求和必要的证明材料，投诉的事项不得超出已质疑事项的范围。</w:t>
      </w:r>
    </w:p>
    <w:p w14:paraId="56CBAF57">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八、政府采购政策</w:t>
      </w:r>
    </w:p>
    <w:p w14:paraId="540A7F3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17、政府采购政策由财政部根据国家的经济和社会发展政策并会同国家有关部委制定，包括但不限于下列具体政策要求：</w:t>
      </w:r>
    </w:p>
    <w:p w14:paraId="5FFAEC1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17.1本国产品与非本国产品相关约定</w:t>
      </w:r>
    </w:p>
    <w:p w14:paraId="4DD6FB6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17.1.1本国产品</w:t>
      </w:r>
    </w:p>
    <w:p w14:paraId="7E8208E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7AD5B6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2B8511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（3）对本国产品的支持政策 政府采购活动中既有本国产品又有非本国产品参与竞争的，依法对本国产品给予价格评审优惠，对本国产品的报价给予20%的价格扣除，用扣除后的价格参与评审。</w:t>
      </w:r>
    </w:p>
    <w:p w14:paraId="528243D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D1463A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17.1.2 非本国产品</w:t>
      </w:r>
    </w:p>
    <w:p w14:paraId="09385CA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17.1.2.1 进口产品：指通过中国海关报关验放进入中国境内且产自关境外的产品，其中：</w:t>
      </w:r>
    </w:p>
    <w:p w14:paraId="5802D9C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151CBD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（2）凡在海关特殊监管区域内企业生产或加工（包括从境外进口料件）销往境内其他地区的产品，不作为政府采购项下进口产品。</w:t>
      </w:r>
    </w:p>
    <w:p w14:paraId="214CB0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（3）对从境外进入海关特殊监管区域，再经办理报关手续后从海关特殊监管区进入境内其他地区的产品，认定为进口产品。</w:t>
      </w:r>
    </w:p>
    <w:p w14:paraId="4070D76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（4）招标文件列明不允许或未列明允许进口产品参加投标的，均视为拒绝进口产品参加投标。</w:t>
      </w:r>
    </w:p>
    <w:p w14:paraId="1927088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17.1.2.2 其它非本国产品：指非进口产品且不符合本国产品标准的产品。</w:t>
      </w:r>
    </w:p>
    <w:p w14:paraId="70272E2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D1A0D6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D70D6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（1）中小企业指符合下列条件的中型、小型、微型企业：</w:t>
      </w:r>
    </w:p>
    <w:p w14:paraId="0DBB4B5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E3C138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②符合中小企业划分标准的个体工商户，在政府采购活动中视同中小企业。</w:t>
      </w:r>
    </w:p>
    <w:p w14:paraId="34442B4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（2）在政府采购活动中，供应商提供的货物、工程或者服务符合下列情形的，享受本办法规定的中小企业扶持政策：</w:t>
      </w:r>
    </w:p>
    <w:p w14:paraId="01F4846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①在货物采购项目中，货物由中小企业制造，即货物由中小企业生产且使用该中小企业商号或者注册商标；</w:t>
      </w:r>
    </w:p>
    <w:p w14:paraId="4038D9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②在工程采购项目中，工程由中小企业承建，即工程施工单位为中小企业；</w:t>
      </w:r>
    </w:p>
    <w:p w14:paraId="74FED5F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③在服务采购项目中，服务由中小企业承接，即提供服务的人员为中小企业依照《中华人民共和国劳动合同法》订立劳动合同的从业人员。</w:t>
      </w:r>
    </w:p>
    <w:p w14:paraId="5DEFF16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在货物采购项目中，供应商提供的货物既有中小企业制造货物，也有大型企业制造货物的，不享受本办法规定的中小企业扶持政策。</w:t>
      </w:r>
    </w:p>
    <w:p w14:paraId="290B81C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以联合体形式参加政府采购活动，联合体各方均为中小企业的，联合体视同中小企业。其中，联合体各方均为小微企业的，联合体视同小微企业。</w:t>
      </w:r>
    </w:p>
    <w:p w14:paraId="43990C8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（3）投标人应当按照招标文件明确的采购标的对应行业的划分标准出具中小企业声明函。</w:t>
      </w:r>
    </w:p>
    <w:p w14:paraId="542CBAF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88F35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FEA0F1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①监狱企业参加采购活动时，应提供由省级以上监狱管理局、戒毒管理局（含新疆生产建设兵团）出具的属于监狱企业的证明文件。</w:t>
      </w:r>
    </w:p>
    <w:p w14:paraId="3E68125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②监狱企业视同小型、微型企业。</w:t>
      </w:r>
    </w:p>
    <w:p w14:paraId="4C52A88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（5）残疾人福利性单位指同时符合下列条件的单位：</w:t>
      </w:r>
    </w:p>
    <w:p w14:paraId="11E7BA8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①安置的残疾人占本单位在职职工人数的比例不低于25%（含25%），并且安置的残疾人人数不少于10人（含10人）；</w:t>
      </w:r>
    </w:p>
    <w:p w14:paraId="4C6F167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②依法与安置的每位残疾人签订了一年以上（含一年）的劳动合同或服务协议；</w:t>
      </w:r>
    </w:p>
    <w:p w14:paraId="2C0792A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③为安置的每位残疾人按月足额缴纳了基本养老保险、基本医疗保险、失业保险、工伤保险和生育保险等社会保险费；</w:t>
      </w:r>
    </w:p>
    <w:p w14:paraId="4AE899D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④通过银行等金融机构向安置的每位残疾人，按月支付了不低于单位所在区县适用的经省级人民政府批准的月最低工资标准的工资；</w:t>
      </w:r>
    </w:p>
    <w:p w14:paraId="7D89AD0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⑤提供本单位制造的货物、承担的工程或服务，或提供其他残疾人福利性单位制造的货物（不包括使用非残疾人福利性单位注册商标的货物）。</w:t>
      </w:r>
    </w:p>
    <w:p w14:paraId="6E0E87D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2B74F5A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6B83D3A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17.4信用记录指由财政部确定的有关网站提供的相关主体信用信息。信用记录的查询及使用应符合财政部文件（财库[2016]125号）规定。</w:t>
      </w:r>
    </w:p>
    <w:p w14:paraId="5A47F7D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17.5为落实政府采购政策需满足的要求：详见招标文件第一章。</w:t>
      </w:r>
    </w:p>
    <w:p w14:paraId="0EE246FF">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九、本项目的有关信息</w:t>
      </w:r>
    </w:p>
    <w:p w14:paraId="57E326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18、本项目的有关信息，包括但不限于：招标公告、更正公告（若有）、招标文件、招标文件的澄清或修改（若有）、中标公告、终止公告（若有）、废标公告（若有）等都将在招标文件载明的指定媒体发布。</w:t>
      </w:r>
    </w:p>
    <w:p w14:paraId="61CD8BE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18.1指定媒体：详见招标文件第二章。</w:t>
      </w:r>
    </w:p>
    <w:p w14:paraId="011BC9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18.2本项目的潜在投标人或投标人应随时关注指定媒体，否则产生不利后果由其自行承担。</w:t>
      </w:r>
    </w:p>
    <w:p w14:paraId="35B2115E">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十、其他事项</w:t>
      </w:r>
    </w:p>
    <w:p w14:paraId="042B495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19、其他事项：</w:t>
      </w:r>
    </w:p>
    <w:p w14:paraId="25BC50A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F06645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19.2其他：详见招标文件第二章。</w:t>
      </w:r>
    </w:p>
    <w:p w14:paraId="4B77493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D8E9B3C">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第四章 资格审查与评标</w:t>
      </w:r>
    </w:p>
    <w:p w14:paraId="44225566">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一、资格审查</w:t>
      </w:r>
    </w:p>
    <w:p w14:paraId="5565A79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1、开标结束后，由 福建华真招标代理有限公司 负责资格审查小组的组建及资格审查工作的组织。</w:t>
      </w:r>
    </w:p>
    <w:p w14:paraId="5A6E117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1.1资格审查小组</w:t>
      </w:r>
    </w:p>
    <w:p w14:paraId="0D10E49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审查小组由3人组成，并负责具体审查事务，其中由采购人派出的采购人代表至少1人，由福建华真招标代理有限公司派出的工作人员至少1人，其余1人可为采购人代表或福建华真招标代理有限公司的工作人员。</w:t>
      </w:r>
    </w:p>
    <w:p w14:paraId="7083AA7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1.2资格审查的依据是招标文件和电子投标文件。</w:t>
      </w:r>
    </w:p>
    <w:p w14:paraId="4936DA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1.3资格审查的范围及内容：电子投标文件（资格及资信证明部分），具体如下：</w:t>
      </w:r>
    </w:p>
    <w:p w14:paraId="63E005E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（1）“投标函”；</w:t>
      </w:r>
    </w:p>
    <w:p w14:paraId="3B2E1EC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（2）“投标人的资格及资信证明文件”</w:t>
      </w:r>
    </w:p>
    <w:p w14:paraId="52AA179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①一般资格证明文件：</w:t>
      </w:r>
    </w:p>
    <w:p w14:paraId="09EA6A5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0"/>
        <w:gridCol w:w="2431"/>
        <w:gridCol w:w="6537"/>
      </w:tblGrid>
      <w:tr w14:paraId="6DCDC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388FB69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220" w:type="pct"/>
          </w:tcPr>
          <w:p w14:paraId="7EB9BB5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3281" w:type="pct"/>
          </w:tcPr>
          <w:p w14:paraId="7809EB3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18F06F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070E327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20" w:type="pct"/>
          </w:tcPr>
          <w:p w14:paraId="44CEAED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单位授权书</w:t>
            </w:r>
          </w:p>
        </w:tc>
        <w:tc>
          <w:tcPr>
            <w:tcW w:w="3281" w:type="pct"/>
          </w:tcPr>
          <w:p w14:paraId="284275D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501E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06AE759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220" w:type="pct"/>
          </w:tcPr>
          <w:p w14:paraId="3519C32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营业执照等证明文件</w:t>
            </w:r>
          </w:p>
        </w:tc>
        <w:tc>
          <w:tcPr>
            <w:tcW w:w="3281" w:type="pct"/>
          </w:tcPr>
          <w:p w14:paraId="0B72AD8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1CCD1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51C2905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220" w:type="pct"/>
          </w:tcPr>
          <w:p w14:paraId="5650BDD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提供财务状况报告(财务报告、或资信证明）</w:t>
            </w:r>
          </w:p>
        </w:tc>
        <w:tc>
          <w:tcPr>
            <w:tcW w:w="3281" w:type="pct"/>
          </w:tcPr>
          <w:p w14:paraId="710DF99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C27D5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741A54C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220" w:type="pct"/>
          </w:tcPr>
          <w:p w14:paraId="6E52817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依法缴纳税收证明材料</w:t>
            </w:r>
          </w:p>
        </w:tc>
        <w:tc>
          <w:tcPr>
            <w:tcW w:w="3281" w:type="pct"/>
          </w:tcPr>
          <w:p w14:paraId="66CBA98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A3BD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6FB2E22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220" w:type="pct"/>
          </w:tcPr>
          <w:p w14:paraId="6B09ECB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依法缴纳社会保障资金证明材料</w:t>
            </w:r>
          </w:p>
        </w:tc>
        <w:tc>
          <w:tcPr>
            <w:tcW w:w="3281" w:type="pct"/>
          </w:tcPr>
          <w:p w14:paraId="6088D84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BA6C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26D014C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1220" w:type="pct"/>
          </w:tcPr>
          <w:p w14:paraId="20AAA41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具备履行合同所必需设备和专业技术能力的声明函(若有)</w:t>
            </w:r>
          </w:p>
        </w:tc>
        <w:tc>
          <w:tcPr>
            <w:tcW w:w="3281" w:type="pct"/>
          </w:tcPr>
          <w:p w14:paraId="355553B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5BE9F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13A423F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1220" w:type="pct"/>
          </w:tcPr>
          <w:p w14:paraId="694A08A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参加采购活动前三年内在经营活动中没有重大违法记录的声明</w:t>
            </w:r>
          </w:p>
        </w:tc>
        <w:tc>
          <w:tcPr>
            <w:tcW w:w="3281" w:type="pct"/>
          </w:tcPr>
          <w:p w14:paraId="75B4108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FCDF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2063DD4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1220" w:type="pct"/>
          </w:tcPr>
          <w:p w14:paraId="072C46F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信用记录查询结果</w:t>
            </w:r>
          </w:p>
        </w:tc>
        <w:tc>
          <w:tcPr>
            <w:tcW w:w="3281" w:type="pct"/>
          </w:tcPr>
          <w:p w14:paraId="415EA44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D7FFE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6F9B4C2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1220" w:type="pct"/>
          </w:tcPr>
          <w:p w14:paraId="5DA65B2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中小企业声明函（以资格条件落实中小企业扶持政策时适用 ）</w:t>
            </w:r>
          </w:p>
        </w:tc>
        <w:tc>
          <w:tcPr>
            <w:tcW w:w="3281" w:type="pct"/>
          </w:tcPr>
          <w:p w14:paraId="7C87F8C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AD69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Pr>
          <w:p w14:paraId="4BC5E7F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1220" w:type="pct"/>
          </w:tcPr>
          <w:p w14:paraId="1639E90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联合体协议（若有）</w:t>
            </w:r>
          </w:p>
        </w:tc>
        <w:tc>
          <w:tcPr>
            <w:tcW w:w="3281" w:type="pct"/>
          </w:tcPr>
          <w:p w14:paraId="28B9CCD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①招标文件接受联合体投标且投标人为联合体的，投标人应提供本协议；否则无须提供。 ②本协议由委托代理人签字或盖章的，应按照招标文件第七章载明的格式提供“单位授权书”。</w:t>
            </w:r>
          </w:p>
        </w:tc>
      </w:tr>
    </w:tbl>
    <w:p w14:paraId="471A04C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※备注说明</w:t>
      </w:r>
    </w:p>
    <w:p w14:paraId="7D99EE1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①投标人应根据自身实际情况提供上述资格要求的证明材料，格式可参考招标文件第七章提供。</w:t>
      </w:r>
    </w:p>
    <w:p w14:paraId="62DA89A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②投标人提供的相应证明材料复印件均应符合：内容完整、清晰、整洁，并由投标人加盖其单位公章。</w:t>
      </w:r>
    </w:p>
    <w:p w14:paraId="5E973CA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③根据招标文件第四章第一点资格审查的1.3“④其他资格证明文件”要求，允许供应商采用资格承诺制的并提供符合要求的资格承诺函，视为满足招标文件的资格要求。</w:t>
      </w:r>
    </w:p>
    <w:p w14:paraId="794DA56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④.其他资格证明文件：</w:t>
      </w:r>
    </w:p>
    <w:p w14:paraId="0066AEF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00"/>
        <w:gridCol w:w="7858"/>
      </w:tblGrid>
      <w:tr w14:paraId="1B55E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4" w:type="pct"/>
          </w:tcPr>
          <w:p w14:paraId="631C8D7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3945" w:type="pct"/>
          </w:tcPr>
          <w:p w14:paraId="422C62D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14F790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4" w:type="pct"/>
          </w:tcPr>
          <w:p w14:paraId="06032D6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资格承诺函</w:t>
            </w:r>
          </w:p>
        </w:tc>
        <w:tc>
          <w:tcPr>
            <w:tcW w:w="3945" w:type="pct"/>
          </w:tcPr>
          <w:p w14:paraId="29D27A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福建省财政厅关于印发推行政府采购供应商资格承诺制指导意见的通知》（闽财购〔2024〕6号），参加本项目投标的投标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投标人可自行选择是否提供本承诺函，若不提供本承诺函的，应按招标文件要求提供相应的证明材料。投标人应对其承诺内容的真实性、合法性、有效性负责，不得作出虚假承诺，承诺不实的，属于提供虚假材料谋取中标、成交，依法追究相关的法律责任。</w:t>
            </w:r>
          </w:p>
        </w:tc>
      </w:tr>
    </w:tbl>
    <w:p w14:paraId="6A25213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（3）投标保证金。</w:t>
      </w:r>
    </w:p>
    <w:p w14:paraId="6D5B3E9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1.4有下列情形之一的，资格审查不合格：</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14:paraId="63754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7EDD8C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1E9B1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97D3B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未按照招标文件规定提交投标函</w:t>
            </w:r>
          </w:p>
        </w:tc>
      </w:tr>
      <w:tr w14:paraId="65BEE5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5AAC15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未按照招标文件规定提交投标人的资格及资信文件</w:t>
            </w:r>
          </w:p>
        </w:tc>
      </w:tr>
      <w:tr w14:paraId="0B51E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8EB836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未按照招标文件规定提交投标保证金</w:t>
            </w:r>
          </w:p>
        </w:tc>
      </w:tr>
    </w:tbl>
    <w:p w14:paraId="368C452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3F2D24A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资格审查不合格项：</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12"/>
        <w:gridCol w:w="8250"/>
      </w:tblGrid>
      <w:tr w14:paraId="0C9BC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9" w:type="pct"/>
          </w:tcPr>
          <w:p w14:paraId="038190C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情形</w:t>
            </w:r>
          </w:p>
        </w:tc>
        <w:tc>
          <w:tcPr>
            <w:tcW w:w="4140" w:type="pct"/>
          </w:tcPr>
          <w:p w14:paraId="7471584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22D43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9" w:type="pct"/>
          </w:tcPr>
          <w:p w14:paraId="4BC07DD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40" w:type="pct"/>
          </w:tcPr>
          <w:p w14:paraId="50E91A6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资格及资信证明部分中不得出现报价部分的全部或部分的投标报价信息（或组成资料），否则视为投标无效。</w:t>
            </w:r>
          </w:p>
        </w:tc>
      </w:tr>
    </w:tbl>
    <w:p w14:paraId="515018E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C14DD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2、资格审查情况不得私自外泄，有关信息由 福建华真招标代理有限公司 统一对外发布。</w:t>
      </w:r>
    </w:p>
    <w:p w14:paraId="7E2B6F7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3、资格审查合格的投标人不足三家的，不进行评标。同时，本次采购活动结束， 福建华真招标代理有限公司 将依法组织后续采购活动（包括但不限于：重新招标、采用其他方式采购等）。</w:t>
      </w:r>
    </w:p>
    <w:p w14:paraId="2C3570CC">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二、评标</w:t>
      </w:r>
    </w:p>
    <w:p w14:paraId="2E07444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4、资格审查结束后，由 福建华真招标代理有限公司 负责评标委员会的组建及评标工作的组织。</w:t>
      </w:r>
    </w:p>
    <w:p w14:paraId="2314910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5、评标委员会</w:t>
      </w:r>
    </w:p>
    <w:p w14:paraId="1CD4911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由采购人代表和评审专家两部分共5人组成，其中由福建省政府采购评审专家库产生的评审专家4人，由采购人派出的采购人代表1人。</w:t>
      </w:r>
    </w:p>
    <w:p w14:paraId="138E0A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5.2评标委员会负责具体评标事务，并按照下列原则依法独立履行有关职责：</w:t>
      </w:r>
    </w:p>
    <w:p w14:paraId="664A1EF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（1）评标应保护国家利益、社会公共利益和各方当事人合法权益，提高采购效益，保证项目质量。</w:t>
      </w:r>
    </w:p>
    <w:p w14:paraId="13CE51B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（2）评标应遵循公平、公正、科学、严谨和择优原则。</w:t>
      </w:r>
    </w:p>
    <w:p w14:paraId="44A6E31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（3）评标的依据是招标文件和电子投标文件。</w:t>
      </w:r>
    </w:p>
    <w:p w14:paraId="11AF0F0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（4）应按照招标文件规定推荐中标候选人或确定中标人。</w:t>
      </w:r>
    </w:p>
    <w:p w14:paraId="086512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（5）评标应遵守下列评标纪律：</w:t>
      </w:r>
    </w:p>
    <w:p w14:paraId="62D85BE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①评标情况不得私自外泄，有关信息由 福建华真招标代理有限公司 统一对外发布。</w:t>
      </w:r>
    </w:p>
    <w:p w14:paraId="185B8AC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②对 福建华真招标代理有限公司 或投标人提供的要求保密的资料，不得摘记翻印和外传。</w:t>
      </w:r>
    </w:p>
    <w:p w14:paraId="5D79B6E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③不得收受投标人或有关人员的任何礼物，不得串联鼓动其他人袒护某投标人。若与投标人存在利害关系，则应主动声明并回避。</w:t>
      </w:r>
    </w:p>
    <w:p w14:paraId="6365D78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④全体评委应按照招标文件规定进行评标，一切认定事项应查有实据且不得弄虚作假。</w:t>
      </w:r>
    </w:p>
    <w:p w14:paraId="1BEA7C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⑤评标中应充分发扬民主，推荐中标候选人或确定中标人后要服从评标报告。</w:t>
      </w:r>
    </w:p>
    <w:p w14:paraId="0F882D6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※对违反评标纪律的评委，将取消其评委资格，对评标工作造成严重损失者将予以通报批评乃至追究法律责任。</w:t>
      </w:r>
    </w:p>
    <w:p w14:paraId="55B934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6、评标程序</w:t>
      </w:r>
    </w:p>
    <w:p w14:paraId="4A7AAF5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6.1评标前的准备工作</w:t>
      </w:r>
    </w:p>
    <w:p w14:paraId="536692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（1）全体评委应认真审阅招标文件，了解评委应履行或遵守的职责、义务和评标纪律。</w:t>
      </w:r>
    </w:p>
    <w:p w14:paraId="2DD4595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（2）参加评标委员会的采购人代表可对本项目的背景和采购需求进行介绍，介绍材料应以书面形式提交（随采购文件一并存档），介绍内容不得含有歧视性、倾向性意见，不得超出招标文件所述范围。</w:t>
      </w:r>
    </w:p>
    <w:p w14:paraId="7454542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6.2符合性审查</w:t>
      </w:r>
    </w:p>
    <w:p w14:paraId="7FF5317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（1）评标委员会依据招标文件的实质性要求，对通过资格审查的电子投标文件进行符合性审查，以确定其是否满足招标文件的实质性要求。</w:t>
      </w:r>
    </w:p>
    <w:p w14:paraId="553E856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（2）满足招标文件的实质性要求指电子投标文件对招标文件实质性要求的响应不存在重大偏差或保留。</w:t>
      </w:r>
    </w:p>
    <w:p w14:paraId="2C4264A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4FD44D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1F193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（5）评标委员会对所有投标人都执行相同的程序和标准。</w:t>
      </w:r>
    </w:p>
    <w:p w14:paraId="28F075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（6）有下列情形之一的，符合性审查不合格：</w:t>
      </w:r>
    </w:p>
    <w:p w14:paraId="7598898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①项目一般情形：</w:t>
      </w:r>
    </w:p>
    <w:p w14:paraId="30BE74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4"/>
        <w:gridCol w:w="2271"/>
        <w:gridCol w:w="6661"/>
      </w:tblGrid>
      <w:tr w14:paraId="33B1A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14" w:type="pct"/>
          </w:tcPr>
          <w:p w14:paraId="7E4B6F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140" w:type="pct"/>
          </w:tcPr>
          <w:p w14:paraId="6DE1346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符合审查要求概况</w:t>
            </w:r>
          </w:p>
        </w:tc>
        <w:tc>
          <w:tcPr>
            <w:tcW w:w="3344" w:type="pct"/>
          </w:tcPr>
          <w:p w14:paraId="6AD559D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51AEB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14" w:type="pct"/>
          </w:tcPr>
          <w:p w14:paraId="0B894C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40" w:type="pct"/>
          </w:tcPr>
          <w:p w14:paraId="0B85383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情形1</w:t>
            </w:r>
          </w:p>
        </w:tc>
        <w:tc>
          <w:tcPr>
            <w:tcW w:w="3344" w:type="pct"/>
          </w:tcPr>
          <w:p w14:paraId="436DED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违反招标文件中载明“投标无效”条款的规定；</w:t>
            </w:r>
          </w:p>
        </w:tc>
      </w:tr>
      <w:tr w14:paraId="6A1CF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14" w:type="pct"/>
          </w:tcPr>
          <w:p w14:paraId="1E723F1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140" w:type="pct"/>
          </w:tcPr>
          <w:p w14:paraId="4953533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情形2</w:t>
            </w:r>
          </w:p>
        </w:tc>
        <w:tc>
          <w:tcPr>
            <w:tcW w:w="3344" w:type="pct"/>
          </w:tcPr>
          <w:p w14:paraId="4AF70FC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属于招标文件第三章第10.12条规定的投标无效情形；</w:t>
            </w:r>
          </w:p>
        </w:tc>
      </w:tr>
      <w:tr w14:paraId="40767F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14" w:type="pct"/>
          </w:tcPr>
          <w:p w14:paraId="71A7632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140" w:type="pct"/>
          </w:tcPr>
          <w:p w14:paraId="42E8E5B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情形3</w:t>
            </w:r>
          </w:p>
        </w:tc>
        <w:tc>
          <w:tcPr>
            <w:tcW w:w="3344" w:type="pct"/>
          </w:tcPr>
          <w:p w14:paraId="7A73B03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投标文件对招标文件实质性要求的响应存在重大偏离或保留。</w:t>
            </w:r>
          </w:p>
        </w:tc>
      </w:tr>
    </w:tbl>
    <w:p w14:paraId="052771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②本项目规定的其他情形：</w:t>
      </w:r>
    </w:p>
    <w:p w14:paraId="7BB881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5983684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技术符合性</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4"/>
        <w:gridCol w:w="8738"/>
      </w:tblGrid>
      <w:tr w14:paraId="247D16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4" w:type="pct"/>
          </w:tcPr>
          <w:p w14:paraId="734BD3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情形</w:t>
            </w:r>
          </w:p>
        </w:tc>
        <w:tc>
          <w:tcPr>
            <w:tcW w:w="4385" w:type="pct"/>
          </w:tcPr>
          <w:p w14:paraId="59882AB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006272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4" w:type="pct"/>
          </w:tcPr>
          <w:p w14:paraId="046A3C0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385" w:type="pct"/>
          </w:tcPr>
          <w:p w14:paraId="3910AAB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技术商务部分中不得出现报价部分的全部或部分的投标报价信息（或组成资料），否则视为投标无效。</w:t>
            </w:r>
          </w:p>
        </w:tc>
      </w:tr>
      <w:tr w14:paraId="39908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4" w:type="pct"/>
          </w:tcPr>
          <w:p w14:paraId="438ED5E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385" w:type="pct"/>
          </w:tcPr>
          <w:p w14:paraId="196C07A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未按招标文件第七章要求提供《技术和服务要求响应表》的，视为投标无效。</w:t>
            </w:r>
          </w:p>
        </w:tc>
      </w:tr>
    </w:tbl>
    <w:p w14:paraId="4AAD46F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商务符合性</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2"/>
        <w:gridCol w:w="8750"/>
      </w:tblGrid>
      <w:tr w14:paraId="1FDC8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27E120E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情形</w:t>
            </w:r>
          </w:p>
        </w:tc>
        <w:tc>
          <w:tcPr>
            <w:tcW w:w="4391" w:type="pct"/>
          </w:tcPr>
          <w:p w14:paraId="0A4374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1402A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3B78F6C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391" w:type="pct"/>
          </w:tcPr>
          <w:p w14:paraId="110B25F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技术商务部分中不得出现报价部分的全部或部分的投标报价信息（或组成资料），否则视为投标无效。</w:t>
            </w:r>
          </w:p>
        </w:tc>
      </w:tr>
      <w:tr w14:paraId="5177A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3F4618D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391" w:type="pct"/>
          </w:tcPr>
          <w:p w14:paraId="08EECDB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未按招标文件第七章要求提供《商务条件响应表》的，视为投标无效。</w:t>
            </w:r>
          </w:p>
        </w:tc>
      </w:tr>
      <w:tr w14:paraId="2D7443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6E391B3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391" w:type="pct"/>
          </w:tcPr>
          <w:p w14:paraId="0A8AB31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投标人提供的商务条件均不得低于招标文件“商务条件”要求，否则视为投标无效。</w:t>
            </w:r>
          </w:p>
        </w:tc>
      </w:tr>
    </w:tbl>
    <w:p w14:paraId="13A563B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价格符合性：无</w:t>
      </w:r>
    </w:p>
    <w:p w14:paraId="00809D3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6.3澄清有关问题</w:t>
      </w:r>
    </w:p>
    <w:p w14:paraId="2110C6E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（1）对通过符合性审查的电子投标文件中含义不明确、同类问题表述不一致或有明显文字和计算错误的内容，评标委员会将以书面形式要求投标人作出必要的澄清、说明或补正。</w:t>
      </w:r>
    </w:p>
    <w:p w14:paraId="2EF9D2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3D49CB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（3）电子投标文件报价出现前后不一致的，除招标文件另有规定外，按照下列规定修正：</w:t>
      </w:r>
    </w:p>
    <w:p w14:paraId="0849CA4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①开标（报价）一览表内容与电子投标文件中相应内容不一致的，以开标（报价）一览表为准；</w:t>
      </w:r>
    </w:p>
    <w:p w14:paraId="5DA33C8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②大写金额和小写金额不一致的，以大写金额为准；</w:t>
      </w:r>
    </w:p>
    <w:p w14:paraId="7B6163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③单价金额小数点或百分比有明显错位的，以开标（报价）一览表的总价为准，并修改单价；</w:t>
      </w:r>
    </w:p>
    <w:p w14:paraId="19E0C71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④总价金额与按照单价汇总金额不一致的，以单价金额计算结果为准。</w:t>
      </w:r>
    </w:p>
    <w:p w14:paraId="338DB3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※同时出现两种以上不一致的，按照前款规定的顺序修正。修正后的报价应按照本章第6.3条第（1）、（2）款规定经投标人确认后产生约束力，投标人不确认的，其投标无效。</w:t>
      </w:r>
    </w:p>
    <w:p w14:paraId="02BE9F7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（4）关于细微偏差</w:t>
      </w:r>
    </w:p>
    <w:p w14:paraId="17AFC78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326420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②评标委员会将以书面形式要求存在细微偏差的投标人在评标委员会规定的时间内予以补正。若无法补正，则评标委员会将按照不利于投标人的内容进行认定。</w:t>
      </w:r>
    </w:p>
    <w:p w14:paraId="07B278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（5）关于投标描述（即电子投标文件中描述的内容）</w:t>
      </w:r>
    </w:p>
    <w:p w14:paraId="74E6CB3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①投标描述前后不一致且不涉及证明材料的：按照本章第6.3条第（1）、（2）款规定执行。</w:t>
      </w:r>
    </w:p>
    <w:p w14:paraId="187CAB3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②投标描述与证明材料不一致或多份证明材料之间不一致的：</w:t>
      </w:r>
    </w:p>
    <w:p w14:paraId="4A4F40A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a.评标委员会将要求投标人进行书面澄清，并按照不利于投标人的内容进行评标。</w:t>
      </w:r>
    </w:p>
    <w:p w14:paraId="26A69E8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D115BE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09B11D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6.4比较与评价</w:t>
      </w:r>
    </w:p>
    <w:p w14:paraId="05F91F0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（1）按照本章第7条载明的评标方法和标准，对符合性审查合格的电子投标文件进行比较与评价。</w:t>
      </w:r>
    </w:p>
    <w:p w14:paraId="0271B53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（2）关于相同品牌产品（政府采购服务类项目不适用本条款规定）</w:t>
      </w:r>
    </w:p>
    <w:p w14:paraId="667FE50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64F28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a.招标文件规定的方式：</w:t>
      </w:r>
    </w:p>
    <w:p w14:paraId="78BA0C9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5B8F577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b.招标文件未规定的，采取随机抽取方式确定，其他投标无效。</w:t>
      </w:r>
    </w:p>
    <w:p w14:paraId="4C9BB5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28B6BE2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a.招标文件规定的方式：</w:t>
      </w:r>
    </w:p>
    <w:p w14:paraId="69C6DB3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147A8C2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b.招标文件未规定的，采取随机抽取方式确定，其他同品牌投标人不作为中标候选人。</w:t>
      </w:r>
    </w:p>
    <w:p w14:paraId="6ABF3F6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③非单一产品采购项目，多家投标人提供的核心产品品牌相同的，按照本章第6.4条第（2）款第①、②规定处理。</w:t>
      </w:r>
    </w:p>
    <w:p w14:paraId="628D5FF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（3）漏（缺）项</w:t>
      </w:r>
    </w:p>
    <w:p w14:paraId="1ABC365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①招标文件中要求列入报价的费用（含配置、功能），漏（缺）项的报价视为已经包括在投标总价中。</w:t>
      </w:r>
    </w:p>
    <w:p w14:paraId="4F0C870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②对多报项及赠送项的价格评标时不予核减，全部进入评标价评议。</w:t>
      </w:r>
    </w:p>
    <w:p w14:paraId="5F242A6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6.5推荐中标候选人：详见本章第7.2条规定。</w:t>
      </w:r>
    </w:p>
    <w:p w14:paraId="7B1F81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6.6编写评标报告</w:t>
      </w:r>
    </w:p>
    <w:p w14:paraId="70BED44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（1）评标报告由评标委员会负责编写。</w:t>
      </w:r>
    </w:p>
    <w:p w14:paraId="7BB429B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（2）评标报告应包括下列内容：</w:t>
      </w:r>
    </w:p>
    <w:p w14:paraId="2347EF6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①招标公告刊登的媒体名称、开标日期和地点；</w:t>
      </w:r>
    </w:p>
    <w:p w14:paraId="665874B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②投标人名单和评标委员会成员名单；</w:t>
      </w:r>
    </w:p>
    <w:p w14:paraId="27EB57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③评标方法和标准；</w:t>
      </w:r>
    </w:p>
    <w:p w14:paraId="7E603D4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④开标记录和评标情况及说明，包括无效投标人名单及原因；</w:t>
      </w:r>
    </w:p>
    <w:p w14:paraId="55A5F61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⑤评标结果，包括中标候选人名单或确定的中标人；</w:t>
      </w:r>
    </w:p>
    <w:p w14:paraId="298457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⑥其他需要说明的情况，包括但不限于：评标过程中投标人的澄清、说明或补正，评委更换等。</w:t>
      </w:r>
    </w:p>
    <w:p w14:paraId="7F2DFD1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CEADE5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6.8评委对需要共同认定的事项存在争议的，应按照少数服从多数的原则进行认定。持不同意见的评委应在评标报告上签署不同意见及理由，否则视为同意评标报告。</w:t>
      </w:r>
    </w:p>
    <w:p w14:paraId="2176BE0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6.9在评标过程中发现投标人有下列情形之一的，评标委员会应认定其投标无效，并书面报告本项目监督管理部门：</w:t>
      </w:r>
    </w:p>
    <w:p w14:paraId="0BE8CBB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（1）恶意串通（包括但不限于招标文件第三章第9.7条规定情形）；</w:t>
      </w:r>
    </w:p>
    <w:p w14:paraId="6A694BD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（2）妨碍其他投标人的竞争行为；</w:t>
      </w:r>
    </w:p>
    <w:p w14:paraId="455FA6D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（3）损害采购人或其他投标人的合法权益。</w:t>
      </w:r>
    </w:p>
    <w:p w14:paraId="68D3DF9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6.10评标过程中，有下列情形之一的，应予废标：</w:t>
      </w:r>
    </w:p>
    <w:p w14:paraId="2575B59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（1）符合性审查合格的投标人不足三家的；</w:t>
      </w:r>
    </w:p>
    <w:p w14:paraId="5471B8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（2）有关法律、法规和规章规定废标的情形。</w:t>
      </w:r>
    </w:p>
    <w:p w14:paraId="7C8FA8E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※若废标，则本次采购活动结束， 福建华真招标代理有限公司 将依法组织后续采购活动（包括但不限于：重新招标、采用其他方式采购等）。</w:t>
      </w:r>
    </w:p>
    <w:p w14:paraId="7B2D32E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7、评标方法和标准</w:t>
      </w:r>
    </w:p>
    <w:p w14:paraId="22A898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7.1评标方法：</w:t>
      </w:r>
    </w:p>
    <w:p w14:paraId="4D96528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采购包1：综合评分法</w:t>
      </w:r>
    </w:p>
    <w:p w14:paraId="06E869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7.2评标标准</w:t>
      </w:r>
    </w:p>
    <w:p w14:paraId="2759D19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采购包1：综合评分法</w:t>
      </w:r>
    </w:p>
    <w:p w14:paraId="39A892B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（1）投标文件满足招标文件全部实质性要求，且按照评审因素的量化指标评审得分（即评标总得分）最高的投标人为中标候选人。</w:t>
      </w:r>
    </w:p>
    <w:p w14:paraId="6F9D7B0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DEFD80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各项评审因素的设置如下：</w:t>
      </w:r>
    </w:p>
    <w:p w14:paraId="0A23A25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价格项（F1×A1）满分为35.0000分</w:t>
      </w:r>
    </w:p>
    <w:p w14:paraId="79E5868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0190BD3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价格扣除的规则如下：</w:t>
      </w:r>
    </w:p>
    <w:tbl>
      <w:tblPr>
        <w:tblStyle w:val="5"/>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11"/>
        <w:gridCol w:w="1625"/>
        <w:gridCol w:w="1051"/>
        <w:gridCol w:w="5667"/>
      </w:tblGrid>
      <w:tr w14:paraId="22EA6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pct"/>
          </w:tcPr>
          <w:p w14:paraId="377E450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816" w:type="pct"/>
          </w:tcPr>
          <w:p w14:paraId="2756584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适用对象</w:t>
            </w:r>
          </w:p>
        </w:tc>
        <w:tc>
          <w:tcPr>
            <w:tcW w:w="528" w:type="pct"/>
          </w:tcPr>
          <w:p w14:paraId="6C11DDF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2846" w:type="pct"/>
          </w:tcPr>
          <w:p w14:paraId="6940886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38543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pct"/>
          </w:tcPr>
          <w:p w14:paraId="7FC03DA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小型、微型企业，监狱企业，残疾人福利性单位</w:t>
            </w:r>
          </w:p>
        </w:tc>
        <w:tc>
          <w:tcPr>
            <w:tcW w:w="816" w:type="pct"/>
          </w:tcPr>
          <w:p w14:paraId="3D59093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投标人或者联合体均为小型、微型企业</w:t>
            </w:r>
          </w:p>
        </w:tc>
        <w:tc>
          <w:tcPr>
            <w:tcW w:w="528" w:type="pct"/>
          </w:tcPr>
          <w:p w14:paraId="31048FD2">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15.00%</w:t>
            </w:r>
          </w:p>
        </w:tc>
        <w:tc>
          <w:tcPr>
            <w:tcW w:w="2846" w:type="pct"/>
          </w:tcPr>
          <w:p w14:paraId="684F900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小、微企业报价给予15%的扣除。2、联合协议或分包意向协议约定小微企业的合同份额占到合同总金额40%以上的，对联合体或者大中型企业的报价给予5%的扣除。3、监狱企业视同上述中小企业享受政府采购扶持政策。4、残疾人福利性单位提供本单位制造的货物、承担的工程或服务，或提供其他残疾人福利性单位制造的货物（不包括使用非残疾人福利性单位注册商标的货物），视同小微企业，按小微企业的扣除比例执行。残疾人福利性单位属于小型、微型企业的，不重复享受政策。5、采购标的对应的中小企业划分标准所属行业为：工业。※投标人应按照招标文件第七章规定提供相关声明函，未提供者不给予价格扣除。</w:t>
            </w:r>
          </w:p>
        </w:tc>
      </w:tr>
    </w:tbl>
    <w:p w14:paraId="33625D1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实施本国产品标准的价格扣除规则如下</w:t>
      </w:r>
    </w:p>
    <w:tbl>
      <w:tblPr>
        <w:tblStyle w:val="5"/>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99"/>
        <w:gridCol w:w="1274"/>
        <w:gridCol w:w="1014"/>
        <w:gridCol w:w="6067"/>
      </w:tblGrid>
      <w:tr w14:paraId="59EB72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3" w:type="pct"/>
          </w:tcPr>
          <w:p w14:paraId="30B3997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640" w:type="pct"/>
          </w:tcPr>
          <w:p w14:paraId="5FF8878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适用对象</w:t>
            </w:r>
          </w:p>
        </w:tc>
        <w:tc>
          <w:tcPr>
            <w:tcW w:w="509" w:type="pct"/>
          </w:tcPr>
          <w:p w14:paraId="032A118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3047" w:type="pct"/>
          </w:tcPr>
          <w:p w14:paraId="24D2FB1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2279C3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3" w:type="pct"/>
          </w:tcPr>
          <w:p w14:paraId="6457CF2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对本国产品的支持政策</w:t>
            </w:r>
          </w:p>
        </w:tc>
        <w:tc>
          <w:tcPr>
            <w:tcW w:w="640" w:type="pct"/>
          </w:tcPr>
          <w:p w14:paraId="05D094C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本国产品</w:t>
            </w:r>
          </w:p>
        </w:tc>
        <w:tc>
          <w:tcPr>
            <w:tcW w:w="509" w:type="pct"/>
          </w:tcPr>
          <w:p w14:paraId="3BA8918D">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20.00%</w:t>
            </w:r>
          </w:p>
        </w:tc>
        <w:tc>
          <w:tcPr>
            <w:tcW w:w="3047" w:type="pct"/>
          </w:tcPr>
          <w:p w14:paraId="4728EF2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4E666CA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优先类节能产品、环境标志产品的价格扣除规则如下</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0"/>
        <w:gridCol w:w="1299"/>
        <w:gridCol w:w="7107"/>
      </w:tblGrid>
      <w:tr w14:paraId="6CEF21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8" w:type="pct"/>
          </w:tcPr>
          <w:p w14:paraId="26ED50B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652" w:type="pct"/>
          </w:tcPr>
          <w:p w14:paraId="4C37F0C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3568" w:type="pct"/>
          </w:tcPr>
          <w:p w14:paraId="1625F29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方法</w:t>
            </w:r>
          </w:p>
        </w:tc>
      </w:tr>
      <w:tr w14:paraId="1ACC7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8" w:type="pct"/>
          </w:tcPr>
          <w:p w14:paraId="4D1C1F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节能、环境标志产品</w:t>
            </w:r>
          </w:p>
        </w:tc>
        <w:tc>
          <w:tcPr>
            <w:tcW w:w="652" w:type="pct"/>
          </w:tcPr>
          <w:p w14:paraId="4C816792">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10.00%</w:t>
            </w:r>
          </w:p>
        </w:tc>
        <w:tc>
          <w:tcPr>
            <w:tcW w:w="3568" w:type="pct"/>
          </w:tcPr>
          <w:p w14:paraId="585BBFE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根据财政部发展改革委生态环境部市场监管总局印发《关于调整优化节能产品、环境标志产品政府采购执行机制的通知》(财库〔2019〕9号)的规定。依据国家确定的认证机构出具的、处于有效期之内的节能产品、环境标志产品认证证书，对获得证书的产品实施政府优先采购或强制采购。2、节能、减排、环境标志产品评审优惠内容及幅度，根据《福建省财政厅关于加强政府绿色采购工作的通知》闽财规〔2024〕3号规定，同一采购包内，对节能产品、环境标志产品政府采购品目清单范围内，实施优先采购的产品，给予产品价格报价10%的扣除，用扣除后的价格参加评审。3、投标人在投标时必须对属于节能、环境标志产品单独在优先类节能产品、环境标志产品统计表中填写，并提供产品的证明资料（国家确定的认证机构出具的、处于有效期之内的节能产品、环境标志产品认证证书复印件）附在报价部分且加盖投标人公章。未单独分项报价或未按规定提供产品的证明资料的不给予价格扣除。同一优先采购产品中各认证证书不重复计算价格扣除。强制类节能产品不进行价格扣除。同一采购包采购标的同时包含其它非优先采购产品的，投标人对优先采购产品和非优先采购产品进行分项报价，非优先采购产品的报价不得享受给予节能产品、环境标志产品的价格扣除优惠。若节能、环境标志产品仅是构成投标产品的部件、组件或零件的，则该投标产品不享受价格扣除。评标委员会审查此项响应性只根据投标文件本身的内容，而不寻求其他的外部证据。</w:t>
            </w:r>
          </w:p>
        </w:tc>
      </w:tr>
    </w:tbl>
    <w:p w14:paraId="0C09356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其他：无</w:t>
      </w:r>
    </w:p>
    <w:p w14:paraId="488FD8F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技术项（F2×A2）满分为55.0000分</w:t>
      </w:r>
    </w:p>
    <w:tbl>
      <w:tblPr>
        <w:tblStyle w:val="5"/>
        <w:tblW w:w="499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12"/>
        <w:gridCol w:w="888"/>
        <w:gridCol w:w="1262"/>
        <w:gridCol w:w="5988"/>
      </w:tblGrid>
      <w:tr w14:paraId="54551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0" w:type="pct"/>
          </w:tcPr>
          <w:p w14:paraId="6BA316E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446" w:type="pct"/>
          </w:tcPr>
          <w:p w14:paraId="6E64680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分值</w:t>
            </w:r>
          </w:p>
        </w:tc>
        <w:tc>
          <w:tcPr>
            <w:tcW w:w="634" w:type="pct"/>
          </w:tcPr>
          <w:p w14:paraId="5B7E8F7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是否客观项</w:t>
            </w:r>
          </w:p>
        </w:tc>
        <w:tc>
          <w:tcPr>
            <w:tcW w:w="3008" w:type="pct"/>
          </w:tcPr>
          <w:p w14:paraId="3BF639F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6E8CF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0" w:type="pct"/>
          </w:tcPr>
          <w:p w14:paraId="6FD8C27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1.技术和服务要求响应情况1</w:t>
            </w:r>
          </w:p>
        </w:tc>
        <w:tc>
          <w:tcPr>
            <w:tcW w:w="446" w:type="pct"/>
          </w:tcPr>
          <w:p w14:paraId="7433BF9D">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37.40</w:t>
            </w:r>
          </w:p>
        </w:tc>
        <w:tc>
          <w:tcPr>
            <w:tcW w:w="634" w:type="pct"/>
          </w:tcPr>
          <w:p w14:paraId="4D06C36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008" w:type="pct"/>
          </w:tcPr>
          <w:p w14:paraId="1E65F4A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所提供的技术和服务要求响应表，并结合所投标产品的佐证材料（若有）等方面情况，对照招标文件第五章“二、技术和服务要求”项下内容，由评委按以下标准评定：（1）投标人所投产品完全满足招标文件要求的，得满分37.4分。（2）以“★”标示的内容为不允许负偏离的实质性要求，若负偏离则投标无效；（3）【评审项1、2、3、4、5、6、7、8、9、10、11、12、13、14、15、16、17、18、19、20、21、22】的技术参数，共计22项，全部满足得37.4分，每负偏离1项扣1.7分，正偏离不加分。</w:t>
            </w:r>
          </w:p>
        </w:tc>
      </w:tr>
      <w:tr w14:paraId="04D47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0" w:type="pct"/>
          </w:tcPr>
          <w:p w14:paraId="3972C75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1.技术和服务要求响应情况2</w:t>
            </w:r>
          </w:p>
        </w:tc>
        <w:tc>
          <w:tcPr>
            <w:tcW w:w="446" w:type="pct"/>
          </w:tcPr>
          <w:p w14:paraId="5982A490">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17.60</w:t>
            </w:r>
          </w:p>
        </w:tc>
        <w:tc>
          <w:tcPr>
            <w:tcW w:w="634" w:type="pct"/>
          </w:tcPr>
          <w:p w14:paraId="4B6C1A5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008" w:type="pct"/>
          </w:tcPr>
          <w:p w14:paraId="3A996C8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所提供的技术和服务要求响应表，并结合所投标产品的佐证材料（若有）等方面情况，对照招标文件第五章“二、技术和服务要求”项下内容，由评委按以下标准评定：【评审项23、24、25、26、27、28、29、30、31、32、33】的技术参数，共计11项，全部满足得17.6分，每负偏离1项扣1.6分，正偏离不加分。</w:t>
            </w:r>
          </w:p>
        </w:tc>
      </w:tr>
    </w:tbl>
    <w:p w14:paraId="6B3DAC4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商务项（F3×A3）满分为10.0000分</w:t>
      </w: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98"/>
        <w:gridCol w:w="900"/>
        <w:gridCol w:w="1250"/>
        <w:gridCol w:w="6004"/>
      </w:tblGrid>
      <w:tr w14:paraId="0219D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pct"/>
          </w:tcPr>
          <w:p w14:paraId="2177956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452" w:type="pct"/>
          </w:tcPr>
          <w:p w14:paraId="6933748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分值</w:t>
            </w:r>
          </w:p>
        </w:tc>
        <w:tc>
          <w:tcPr>
            <w:tcW w:w="628" w:type="pct"/>
          </w:tcPr>
          <w:p w14:paraId="199ABB3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是否客观项</w:t>
            </w:r>
          </w:p>
        </w:tc>
        <w:tc>
          <w:tcPr>
            <w:tcW w:w="3015" w:type="pct"/>
          </w:tcPr>
          <w:p w14:paraId="18A8EA3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24445A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pct"/>
          </w:tcPr>
          <w:p w14:paraId="2450464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1.业绩情况</w:t>
            </w:r>
          </w:p>
        </w:tc>
        <w:tc>
          <w:tcPr>
            <w:tcW w:w="452" w:type="pct"/>
          </w:tcPr>
          <w:p w14:paraId="75F8BFB8">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3.00</w:t>
            </w:r>
          </w:p>
        </w:tc>
        <w:tc>
          <w:tcPr>
            <w:tcW w:w="628" w:type="pct"/>
          </w:tcPr>
          <w:p w14:paraId="61B94B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015" w:type="pct"/>
          </w:tcPr>
          <w:p w14:paraId="4089852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所提供的自2021年1月1日至本项目投标截止时间止（日期以验收报告为准）由投标人独立完成的本次投标冷冻电镜类相关的同类业绩情况进行打分，每提供一份合格的业绩得1分，满分3分。【注：投标人须同时提供该业绩项目的①中标/成交公告（提供相关网站中标/成交公告的下载网页并注明网址）、②中标/成交通知书复印件、③采购合同文本复印件，④以及能够证明该业绩项目已经采购人验收合格的相关证明文件复印件，所有材料缺一不可，否则不得分。】</w:t>
            </w:r>
          </w:p>
        </w:tc>
      </w:tr>
      <w:tr w14:paraId="178EE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pct"/>
          </w:tcPr>
          <w:p w14:paraId="5882BE9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2.免费保修期</w:t>
            </w:r>
          </w:p>
        </w:tc>
        <w:tc>
          <w:tcPr>
            <w:tcW w:w="452" w:type="pct"/>
          </w:tcPr>
          <w:p w14:paraId="4DE204B4">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1.00</w:t>
            </w:r>
          </w:p>
        </w:tc>
        <w:tc>
          <w:tcPr>
            <w:tcW w:w="628" w:type="pct"/>
          </w:tcPr>
          <w:p w14:paraId="6004F9A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015" w:type="pct"/>
          </w:tcPr>
          <w:p w14:paraId="4419E4D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投标人承诺的所投产品的免费保修期在满足招标文件要求的基础上（3年），每增加1年得1分，满分1分。须提供承诺函（格式自拟），未提供或提供不符的不得分。</w:t>
            </w:r>
          </w:p>
        </w:tc>
      </w:tr>
      <w:tr w14:paraId="04AF4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pct"/>
          </w:tcPr>
          <w:p w14:paraId="0038252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3.售后服务方案</w:t>
            </w:r>
          </w:p>
        </w:tc>
        <w:tc>
          <w:tcPr>
            <w:tcW w:w="452" w:type="pct"/>
          </w:tcPr>
          <w:p w14:paraId="7985012A">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3.00</w:t>
            </w:r>
          </w:p>
        </w:tc>
        <w:tc>
          <w:tcPr>
            <w:tcW w:w="628" w:type="pct"/>
          </w:tcPr>
          <w:p w14:paraId="6DF0E7C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否</w:t>
            </w:r>
          </w:p>
        </w:tc>
        <w:tc>
          <w:tcPr>
            <w:tcW w:w="3015" w:type="pct"/>
          </w:tcPr>
          <w:p w14:paraId="3B0B621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有缺漏、内容与要点相符但仅有纲要、内容简略，未展开详细阐述但基本能够适用于本项目的得1.5分；未提供或内容存在明显错误、内容明显不适用于本项目需求的均不得分。</w:t>
            </w:r>
          </w:p>
        </w:tc>
      </w:tr>
      <w:tr w14:paraId="25D38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pct"/>
          </w:tcPr>
          <w:p w14:paraId="7BAF8B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4.培训方案</w:t>
            </w:r>
          </w:p>
        </w:tc>
        <w:tc>
          <w:tcPr>
            <w:tcW w:w="452" w:type="pct"/>
          </w:tcPr>
          <w:p w14:paraId="29539ADC">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3.00</w:t>
            </w:r>
          </w:p>
        </w:tc>
        <w:tc>
          <w:tcPr>
            <w:tcW w:w="628" w:type="pct"/>
          </w:tcPr>
          <w:p w14:paraId="108BC71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否</w:t>
            </w:r>
          </w:p>
        </w:tc>
        <w:tc>
          <w:tcPr>
            <w:tcW w:w="3015" w:type="pct"/>
          </w:tcPr>
          <w:p w14:paraId="7D59D5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对采购人的管理人员、操作人员产品应用及维护人员产品维护、排除一般故障进行培训等方案情况【技术培训方案及内容包括但不限于：①培训时间及地点、②培训方式、③培训目标、④培训的具体内容、⑤培训效果预期及质量保障措施等】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有缺漏、内容与要点相符但仅有纲要、内容简略，未展开详细阐述但基本能够适用于本项目的得1.5分；未提供或内容存在明显错误、内容明显不适用于本项目需求的均不得分。</w:t>
            </w:r>
          </w:p>
        </w:tc>
      </w:tr>
    </w:tbl>
    <w:p w14:paraId="5346BAA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异常低价审查</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12"/>
        <w:gridCol w:w="8350"/>
      </w:tblGrid>
      <w:tr w14:paraId="6864E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pct"/>
          </w:tcPr>
          <w:p w14:paraId="4E671DA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4190" w:type="pct"/>
          </w:tcPr>
          <w:p w14:paraId="634705A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16886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pct"/>
          </w:tcPr>
          <w:p w14:paraId="1C4E0B5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异常低价审查</w:t>
            </w:r>
          </w:p>
        </w:tc>
        <w:tc>
          <w:tcPr>
            <w:tcW w:w="4190" w:type="pct"/>
          </w:tcPr>
          <w:p w14:paraId="7D45B2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根据《关于推动解决政府采购异常低价问题的通知》（财库〔2026〕2号）等相关规定，政府采购评审中出现下列情形之一的，评审委员会应当启动异常低价投标（响应）审查程序： （1）药学院药物靶标蛋白结构成像系统采购项目响应报价低于全部通过符合性审查供应商响应报价平均值50%的，即药学院药物靶标蛋白结构成像系统采购项目响应报价&lt;全部通过符合性审查供应商响应报价平均值×50%。 （2）药学院药物靶标蛋白结构成像系统采购项目响应报价低于通过符合性审查且报价次低供应商响应报价50%的，即药学院药物靶标蛋白结构成像系统采购项目响应报价&lt;通过符合性审查且报价次低供应商响应报价×50%。 （3）药学院药物靶标蛋白结构成像系统采购项目响应报价低于最高限价45%的，即药学院药物靶标蛋白结构成像系统采购项目响应报价&lt;最高限价×45%。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50A6D37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34925E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20E135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7BA7BA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异常低价投标（响应）审查的启动原因、审查意见和审查结果应当在评审报告中记录，并随供应商提供的相关书面说明及证明材料，以及评审委员会有关互联网浏览、查询历史一并归档。</w:t>
      </w:r>
    </w:p>
    <w:p w14:paraId="7541522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※除本章第6.3条第（3）款规定情形和落实政府采购政策需进行的价格扣除情形外，不能对投标人的投标报价进行任何调整。</w:t>
      </w:r>
    </w:p>
    <w:p w14:paraId="3313C9D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（3）中标候选人排列规则顺序如下：</w:t>
      </w:r>
    </w:p>
    <w:p w14:paraId="39BCCA0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a.按照评标总得分（FA）由高到低顺序排列。</w:t>
      </w:r>
    </w:p>
    <w:p w14:paraId="03B7721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b.评标总得分（FA）相同的，按照评标价（即价格扣除后的投标报价）由低到高顺序排列。</w:t>
      </w:r>
    </w:p>
    <w:p w14:paraId="2A7F078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c.评标总得分（FA）且评标价（即价格扣除后的投标报价）相同的并列。</w:t>
      </w:r>
    </w:p>
    <w:p w14:paraId="3DDCA1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8、其他规定</w:t>
      </w:r>
    </w:p>
    <w:p w14:paraId="4DC1078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8.1评标应全程保密且不得透露给任一投标人或与评标工作无关的人员。</w:t>
      </w:r>
    </w:p>
    <w:p w14:paraId="6030551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8.2评标将进行全程实时录音录像，录音录像资料随采购文件一并存档。</w:t>
      </w:r>
    </w:p>
    <w:p w14:paraId="4C8F8DA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8.3若投标人有任何试图干扰具体评标事务，影响评标委员会独立履行职责的行为，其投标无效且不予退还投标保证金或通过投标保函进行索赔。情节严重的，由财政部门列入不良行为记录。</w:t>
      </w:r>
    </w:p>
    <w:p w14:paraId="0E4FA1B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8.4其他：</w:t>
      </w:r>
    </w:p>
    <w:p w14:paraId="13F48D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4F7ADE5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A715C1C">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14:paraId="2CB14E29">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一、项目概况（采购标的）</w:t>
      </w:r>
    </w:p>
    <w:p w14:paraId="7D39AE98">
      <w:pPr>
        <w:pStyle w:val="7"/>
        <w:keepNext w:val="0"/>
        <w:keepLines w:val="0"/>
        <w:pageBreakBefore w:val="0"/>
        <w:widowControl/>
        <w:kinsoku/>
        <w:wordWrap/>
        <w:overflowPunct/>
        <w:topLinePunct w:val="0"/>
        <w:autoSpaceDE/>
        <w:autoSpaceDN/>
        <w:bidi w:val="0"/>
        <w:adjustRightInd/>
        <w:snapToGrid/>
        <w:spacing w:line="400" w:lineRule="atLeast"/>
        <w:ind w:firstLine="48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1、本项目为药学院药物靶标蛋白结构成像系统采购项目，投标人须保证所提供的货物是全新的、未使用过的原装品牌设备，在各个方面符合规定的质量、规格和性能要求，保证货物经过正确安装、合理操作和维护保养，在货物寿命期内运转良好。</w:t>
      </w:r>
    </w:p>
    <w:p w14:paraId="16923F53">
      <w:pPr>
        <w:pStyle w:val="7"/>
        <w:keepNext w:val="0"/>
        <w:keepLines w:val="0"/>
        <w:pageBreakBefore w:val="0"/>
        <w:widowControl/>
        <w:kinsoku/>
        <w:wordWrap/>
        <w:overflowPunct/>
        <w:topLinePunct w:val="0"/>
        <w:autoSpaceDE/>
        <w:autoSpaceDN/>
        <w:bidi w:val="0"/>
        <w:adjustRightInd/>
        <w:snapToGrid/>
        <w:spacing w:line="400" w:lineRule="atLeast"/>
        <w:ind w:firstLine="40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2、本次采购项目为货物类采购，为单一产品，多家投标人提供的产品品牌相同的，按招标文件第四章6.4条款的规定处理。</w:t>
      </w:r>
    </w:p>
    <w:p w14:paraId="091E1B89">
      <w:pPr>
        <w:pStyle w:val="7"/>
        <w:keepNext w:val="0"/>
        <w:keepLines w:val="0"/>
        <w:pageBreakBefore w:val="0"/>
        <w:widowControl/>
        <w:kinsoku/>
        <w:wordWrap/>
        <w:overflowPunct/>
        <w:topLinePunct w:val="0"/>
        <w:autoSpaceDE/>
        <w:autoSpaceDN/>
        <w:bidi w:val="0"/>
        <w:adjustRightInd/>
        <w:snapToGrid/>
        <w:spacing w:line="400" w:lineRule="atLeast"/>
        <w:ind w:firstLine="40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3、投标人应以包括货物所涉及的有关项目的所有费用进行报价，包括货物制造、备件、工具、技术资料、税金、保险、包装、运输、装卸、安装、调试、检验、验收、培训、保修等一切相关费用。</w:t>
      </w:r>
    </w:p>
    <w:p w14:paraId="1BF5689A">
      <w:pPr>
        <w:pStyle w:val="7"/>
        <w:keepNext w:val="0"/>
        <w:keepLines w:val="0"/>
        <w:pageBreakBefore w:val="0"/>
        <w:widowControl/>
        <w:kinsoku/>
        <w:wordWrap/>
        <w:overflowPunct/>
        <w:topLinePunct w:val="0"/>
        <w:autoSpaceDE/>
        <w:autoSpaceDN/>
        <w:bidi w:val="0"/>
        <w:adjustRightInd/>
        <w:snapToGrid/>
        <w:spacing w:line="400" w:lineRule="atLeast"/>
        <w:ind w:firstLine="40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4、进口免税申报若不是采购人原因导致免税无法办理的，相关税费由中标人承担。</w:t>
      </w:r>
    </w:p>
    <w:p w14:paraId="1E08368D">
      <w:pPr>
        <w:pStyle w:val="7"/>
        <w:keepNext w:val="0"/>
        <w:keepLines w:val="0"/>
        <w:pageBreakBefore w:val="0"/>
        <w:widowControl/>
        <w:kinsoku/>
        <w:wordWrap/>
        <w:overflowPunct/>
        <w:topLinePunct w:val="0"/>
        <w:autoSpaceDE/>
        <w:autoSpaceDN/>
        <w:bidi w:val="0"/>
        <w:adjustRightInd/>
        <w:snapToGrid/>
        <w:spacing w:line="400" w:lineRule="atLeast"/>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5、投标人务必仔细阅读招标文件中所规定的，其中包括技术和服务要求、商务要求等在内的所有细则。</w:t>
      </w:r>
    </w:p>
    <w:p w14:paraId="3EC00780">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二、技术和服务要求（以“★”标示的内容为不允许负偏离的实质性要求）</w:t>
      </w:r>
    </w:p>
    <w:p w14:paraId="10625B5B">
      <w:pPr>
        <w:pStyle w:val="7"/>
        <w:keepNext w:val="0"/>
        <w:keepLines w:val="0"/>
        <w:pageBreakBefore w:val="0"/>
        <w:widowControl/>
        <w:kinsoku/>
        <w:wordWrap/>
        <w:overflowPunct/>
        <w:topLinePunct w:val="0"/>
        <w:autoSpaceDE/>
        <w:autoSpaceDN/>
        <w:bidi w:val="0"/>
        <w:adjustRightInd/>
        <w:snapToGrid/>
        <w:spacing w:line="400" w:lineRule="atLeast"/>
        <w:ind w:firstLine="48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一、技术参数：</w:t>
      </w:r>
    </w:p>
    <w:p w14:paraId="35077646">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1、仪器系统：</w:t>
      </w:r>
    </w:p>
    <w:p w14:paraId="477AE429">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w:t>
      </w:r>
      <w:r>
        <w:rPr>
          <w:rFonts w:hint="eastAsia" w:asciiTheme="minorEastAsia" w:hAnsiTheme="minorEastAsia" w:eastAsiaTheme="minorEastAsia" w:cstheme="minorEastAsia"/>
          <w:color w:val="000000"/>
          <w:sz w:val="20"/>
          <w:szCs w:val="20"/>
        </w:rPr>
        <w:t>1.1 仪器操控：人机分离模式；</w:t>
      </w:r>
    </w:p>
    <w:p w14:paraId="67E2E92F">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w:t>
      </w:r>
      <w:r>
        <w:rPr>
          <w:rFonts w:hint="eastAsia" w:asciiTheme="minorEastAsia" w:hAnsiTheme="minorEastAsia" w:eastAsiaTheme="minorEastAsia" w:cstheme="minorEastAsia"/>
          <w:color w:val="000000"/>
          <w:sz w:val="20"/>
          <w:szCs w:val="20"/>
        </w:rPr>
        <w:t>1.2 真空系统：采用无油泵真空系统，由机械泵、涡轮分子泵和离子泵构成，电子枪真空度 ≤ 7 ×10</w:t>
      </w:r>
      <w:r>
        <w:rPr>
          <w:rFonts w:hint="eastAsia" w:asciiTheme="minorEastAsia" w:hAnsiTheme="minorEastAsia" w:eastAsiaTheme="minorEastAsia" w:cstheme="minorEastAsia"/>
          <w:color w:val="000000"/>
          <w:sz w:val="20"/>
          <w:szCs w:val="20"/>
          <w:vertAlign w:val="superscript"/>
        </w:rPr>
        <w:t>-7</w:t>
      </w:r>
      <w:r>
        <w:rPr>
          <w:rFonts w:hint="eastAsia" w:asciiTheme="minorEastAsia" w:hAnsiTheme="minorEastAsia" w:eastAsiaTheme="minorEastAsia" w:cstheme="minorEastAsia"/>
          <w:color w:val="000000"/>
          <w:sz w:val="20"/>
          <w:szCs w:val="20"/>
        </w:rPr>
        <w:t xml:space="preserve"> Pa；样品区真空度 ≤ 2.7 ×10</w:t>
      </w:r>
      <w:r>
        <w:rPr>
          <w:rFonts w:hint="eastAsia" w:asciiTheme="minorEastAsia" w:hAnsiTheme="minorEastAsia" w:eastAsiaTheme="minorEastAsia" w:cstheme="minorEastAsia"/>
          <w:color w:val="000000"/>
          <w:sz w:val="20"/>
          <w:szCs w:val="20"/>
          <w:vertAlign w:val="superscript"/>
        </w:rPr>
        <w:t>-5</w:t>
      </w:r>
      <w:r>
        <w:rPr>
          <w:rFonts w:hint="eastAsia" w:asciiTheme="minorEastAsia" w:hAnsiTheme="minorEastAsia" w:eastAsiaTheme="minorEastAsia" w:cstheme="minorEastAsia"/>
          <w:color w:val="000000"/>
          <w:sz w:val="20"/>
          <w:szCs w:val="20"/>
        </w:rPr>
        <w:t xml:space="preserve"> Pa；</w:t>
      </w:r>
    </w:p>
    <w:p w14:paraId="616C3832">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【评审项3】</w:t>
      </w:r>
      <w:r>
        <w:rPr>
          <w:rFonts w:hint="eastAsia" w:asciiTheme="minorEastAsia" w:hAnsiTheme="minorEastAsia" w:eastAsiaTheme="minorEastAsia" w:cstheme="minorEastAsia"/>
          <w:color w:val="000000"/>
          <w:sz w:val="20"/>
          <w:szCs w:val="20"/>
        </w:rPr>
        <w:t>1.3 发射源：场发射电子枪；</w:t>
      </w:r>
    </w:p>
    <w:p w14:paraId="74FF9F31">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【评审项4】</w:t>
      </w:r>
      <w:r>
        <w:rPr>
          <w:rFonts w:hint="eastAsia" w:asciiTheme="minorEastAsia" w:hAnsiTheme="minorEastAsia" w:eastAsiaTheme="minorEastAsia" w:cstheme="minorEastAsia"/>
          <w:color w:val="000000"/>
          <w:sz w:val="20"/>
          <w:szCs w:val="20"/>
        </w:rPr>
        <w:t>1.4 最大加速电压：≥100 kV；</w:t>
      </w:r>
    </w:p>
    <w:p w14:paraId="7E9B584F">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【评审项5】</w:t>
      </w:r>
      <w:r>
        <w:rPr>
          <w:rFonts w:hint="eastAsia" w:asciiTheme="minorEastAsia" w:hAnsiTheme="minorEastAsia" w:eastAsiaTheme="minorEastAsia" w:cstheme="minorEastAsia"/>
          <w:color w:val="000000"/>
          <w:sz w:val="20"/>
          <w:szCs w:val="20"/>
        </w:rPr>
        <w:t>1.5 电磁透镜：具有恒定功率电磁透镜，物镜极靴间距≥5 mm；</w:t>
      </w:r>
    </w:p>
    <w:p w14:paraId="765CF56E">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2、相机成像：</w:t>
      </w:r>
    </w:p>
    <w:p w14:paraId="03605371">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【评审项6】</w:t>
      </w:r>
      <w:r>
        <w:rPr>
          <w:rFonts w:hint="eastAsia" w:asciiTheme="minorEastAsia" w:hAnsiTheme="minorEastAsia" w:eastAsiaTheme="minorEastAsia" w:cstheme="minorEastAsia"/>
          <w:color w:val="000000"/>
          <w:sz w:val="20"/>
          <w:szCs w:val="20"/>
        </w:rPr>
        <w:t>2.1 系统：CMOS或CCD系统；</w:t>
      </w:r>
    </w:p>
    <w:p w14:paraId="25A867A9">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【评审项7】</w:t>
      </w:r>
      <w:r>
        <w:rPr>
          <w:rFonts w:hint="eastAsia" w:asciiTheme="minorEastAsia" w:hAnsiTheme="minorEastAsia" w:eastAsiaTheme="minorEastAsia" w:cstheme="minorEastAsia"/>
          <w:color w:val="000000"/>
          <w:sz w:val="20"/>
          <w:szCs w:val="20"/>
        </w:rPr>
        <w:t>2.2 相机成像像素数：≥ 4000×4000像素；</w:t>
      </w:r>
    </w:p>
    <w:p w14:paraId="2DAFD14A">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【评审项8】</w:t>
      </w:r>
      <w:r>
        <w:rPr>
          <w:rFonts w:hint="eastAsia" w:asciiTheme="minorEastAsia" w:hAnsiTheme="minorEastAsia" w:eastAsiaTheme="minorEastAsia" w:cstheme="minorEastAsia"/>
          <w:color w:val="000000"/>
          <w:sz w:val="20"/>
          <w:szCs w:val="20"/>
        </w:rPr>
        <w:t>2.3 相机成像像素大小：≥5μm；</w:t>
      </w:r>
    </w:p>
    <w:p w14:paraId="6CC6887C">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【评审项9】</w:t>
      </w:r>
      <w:r>
        <w:rPr>
          <w:rFonts w:hint="eastAsia" w:asciiTheme="minorEastAsia" w:hAnsiTheme="minorEastAsia" w:eastAsiaTheme="minorEastAsia" w:cstheme="minorEastAsia"/>
          <w:color w:val="000000"/>
          <w:sz w:val="20"/>
          <w:szCs w:val="20"/>
        </w:rPr>
        <w:t>2.4 相机成像分辨率：≤0.5 nm；</w:t>
      </w:r>
    </w:p>
    <w:p w14:paraId="175C66B0">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【评审项10】</w:t>
      </w:r>
      <w:r>
        <w:rPr>
          <w:rFonts w:hint="eastAsia" w:asciiTheme="minorEastAsia" w:hAnsiTheme="minorEastAsia" w:eastAsiaTheme="minorEastAsia" w:cstheme="minorEastAsia"/>
          <w:color w:val="000000"/>
          <w:sz w:val="20"/>
          <w:szCs w:val="20"/>
        </w:rPr>
        <w:t>2.5 像素：≥1600 万；</w:t>
      </w:r>
    </w:p>
    <w:p w14:paraId="65E07197">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【评审项11】</w:t>
      </w:r>
      <w:r>
        <w:rPr>
          <w:rFonts w:hint="eastAsia" w:asciiTheme="minorEastAsia" w:hAnsiTheme="minorEastAsia" w:eastAsiaTheme="minorEastAsia" w:cstheme="minorEastAsia"/>
          <w:color w:val="000000"/>
          <w:sz w:val="20"/>
          <w:szCs w:val="20"/>
        </w:rPr>
        <w:t>2.6 成像相机具备冷冻样品拍照功能；</w:t>
      </w:r>
    </w:p>
    <w:p w14:paraId="0BD83E25">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【评审项12】</w:t>
      </w:r>
      <w:r>
        <w:rPr>
          <w:rFonts w:hint="eastAsia" w:asciiTheme="minorEastAsia" w:hAnsiTheme="minorEastAsia" w:eastAsiaTheme="minorEastAsia" w:cstheme="minorEastAsia"/>
          <w:color w:val="000000"/>
          <w:sz w:val="20"/>
          <w:szCs w:val="20"/>
        </w:rPr>
        <w:t>2.7 成像模式：具有保护模式，可通过低剂量曝光避免破坏样本；</w:t>
      </w:r>
    </w:p>
    <w:p w14:paraId="50707383">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【评审项13】</w:t>
      </w:r>
      <w:r>
        <w:rPr>
          <w:rFonts w:hint="eastAsia" w:asciiTheme="minorEastAsia" w:hAnsiTheme="minorEastAsia" w:eastAsiaTheme="minorEastAsia" w:cstheme="minorEastAsia"/>
          <w:color w:val="000000"/>
          <w:sz w:val="20"/>
          <w:szCs w:val="20"/>
        </w:rPr>
        <w:t>2.8 成像放大倍数：50-500,000倍或优于此范围；</w:t>
      </w:r>
    </w:p>
    <w:p w14:paraId="5302F188">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3、样品台：</w:t>
      </w:r>
    </w:p>
    <w:p w14:paraId="3E72C48A">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【评审项14】</w:t>
      </w:r>
      <w:r>
        <w:rPr>
          <w:rFonts w:hint="eastAsia" w:asciiTheme="minorEastAsia" w:hAnsiTheme="minorEastAsia" w:eastAsiaTheme="minorEastAsia" w:cstheme="minorEastAsia"/>
          <w:color w:val="000000"/>
          <w:sz w:val="20"/>
          <w:szCs w:val="20"/>
        </w:rPr>
        <w:t>3.1 X/Y轴行程：≥2 mm；</w:t>
      </w:r>
    </w:p>
    <w:p w14:paraId="737E85DC">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【评审项15】</w:t>
      </w:r>
      <w:r>
        <w:rPr>
          <w:rFonts w:hint="eastAsia" w:asciiTheme="minorEastAsia" w:hAnsiTheme="minorEastAsia" w:eastAsiaTheme="minorEastAsia" w:cstheme="minorEastAsia"/>
          <w:color w:val="000000"/>
          <w:sz w:val="20"/>
          <w:szCs w:val="20"/>
        </w:rPr>
        <w:t>3.2 Z轴行程：≥0.6 mm；</w:t>
      </w:r>
    </w:p>
    <w:p w14:paraId="4E8BA80F">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【评审项16】</w:t>
      </w:r>
      <w:r>
        <w:rPr>
          <w:rFonts w:hint="eastAsia" w:asciiTheme="minorEastAsia" w:hAnsiTheme="minorEastAsia" w:eastAsiaTheme="minorEastAsia" w:cstheme="minorEastAsia"/>
          <w:color w:val="000000"/>
          <w:sz w:val="20"/>
          <w:szCs w:val="20"/>
        </w:rPr>
        <w:t>3.3 机械轴：≥4个；</w:t>
      </w:r>
    </w:p>
    <w:p w14:paraId="15158AB0">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【评审项17】</w:t>
      </w:r>
      <w:r>
        <w:rPr>
          <w:rFonts w:hint="eastAsia" w:asciiTheme="minorEastAsia" w:hAnsiTheme="minorEastAsia" w:eastAsiaTheme="minorEastAsia" w:cstheme="minorEastAsia"/>
          <w:sz w:val="20"/>
          <w:szCs w:val="20"/>
        </w:rPr>
        <w:t>3.4 具备半自动冷冻样品上样台，可以一次性准备5个载网；</w:t>
      </w:r>
    </w:p>
    <w:p w14:paraId="1065A1DE">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4. 样品仓：</w:t>
      </w:r>
    </w:p>
    <w:p w14:paraId="3F9A178D">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【评审项18】</w:t>
      </w:r>
      <w:r>
        <w:rPr>
          <w:rFonts w:hint="eastAsia" w:asciiTheme="minorEastAsia" w:hAnsiTheme="minorEastAsia" w:eastAsiaTheme="minorEastAsia" w:cstheme="minorEastAsia"/>
          <w:sz w:val="20"/>
          <w:szCs w:val="20"/>
        </w:rPr>
        <w:t>4.1 样品仓最高湿度可达到100%，并在±1%范围内维持48 h稳定；</w:t>
      </w:r>
    </w:p>
    <w:p w14:paraId="4980C7DA">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【评审项19】</w:t>
      </w:r>
      <w:r>
        <w:rPr>
          <w:rFonts w:hint="eastAsia" w:asciiTheme="minorEastAsia" w:hAnsiTheme="minorEastAsia" w:eastAsiaTheme="minorEastAsia" w:cstheme="minorEastAsia"/>
          <w:sz w:val="20"/>
          <w:szCs w:val="20"/>
        </w:rPr>
        <w:t>4.2 具有双侧加样功能，样品载网可以快速回收并无缝装载至200KV、300KV等冷冻电子显微镜；</w:t>
      </w:r>
    </w:p>
    <w:p w14:paraId="085236A6">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【评审项20】</w:t>
      </w:r>
      <w:r>
        <w:rPr>
          <w:rFonts w:hint="eastAsia" w:asciiTheme="minorEastAsia" w:hAnsiTheme="minorEastAsia" w:eastAsiaTheme="minorEastAsia" w:cstheme="minorEastAsia"/>
          <w:color w:val="000000"/>
          <w:sz w:val="20"/>
          <w:szCs w:val="20"/>
        </w:rPr>
        <w:t>4.3 样品吸附方式：双面吸附；</w:t>
      </w:r>
    </w:p>
    <w:p w14:paraId="79D22E5D">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【评审项21】</w:t>
      </w:r>
      <w:r>
        <w:rPr>
          <w:rFonts w:hint="eastAsia" w:asciiTheme="minorEastAsia" w:hAnsiTheme="minorEastAsia" w:eastAsiaTheme="minorEastAsia" w:cstheme="minorEastAsia"/>
          <w:color w:val="000000"/>
          <w:sz w:val="20"/>
          <w:szCs w:val="20"/>
        </w:rPr>
        <w:t>4.4 界面控制：可触屏控制；</w:t>
      </w:r>
    </w:p>
    <w:p w14:paraId="6579DB10">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【评审项22】</w:t>
      </w:r>
      <w:r>
        <w:rPr>
          <w:rFonts w:hint="eastAsia" w:asciiTheme="minorEastAsia" w:hAnsiTheme="minorEastAsia" w:eastAsiaTheme="minorEastAsia" w:cstheme="minorEastAsia"/>
          <w:color w:val="000000"/>
          <w:sz w:val="20"/>
          <w:szCs w:val="20"/>
        </w:rPr>
        <w:t>4.5 界面操作：样品仓可调控液氮杜瓦瓶上移，并且可以自动倒掉多余液氮；</w:t>
      </w:r>
    </w:p>
    <w:p w14:paraId="6E141D44">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【评审项23】</w:t>
      </w:r>
      <w:r>
        <w:rPr>
          <w:rFonts w:hint="eastAsia" w:asciiTheme="minorEastAsia" w:hAnsiTheme="minorEastAsia" w:eastAsiaTheme="minorEastAsia" w:cstheme="minorEastAsia"/>
          <w:color w:val="000000"/>
          <w:sz w:val="20"/>
          <w:szCs w:val="20"/>
        </w:rPr>
        <w:t>4.6 样品吸干方式：过滤纸吸干；</w:t>
      </w:r>
    </w:p>
    <w:p w14:paraId="14D6F01F">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【评审项24】</w:t>
      </w:r>
      <w:r>
        <w:rPr>
          <w:rFonts w:hint="eastAsia" w:asciiTheme="minorEastAsia" w:hAnsiTheme="minorEastAsia" w:eastAsiaTheme="minorEastAsia" w:cstheme="minorEastAsia"/>
          <w:color w:val="000000"/>
          <w:sz w:val="20"/>
          <w:szCs w:val="20"/>
        </w:rPr>
        <w:t>4.7 上样方式：半自动上样或全自动上样；</w:t>
      </w:r>
    </w:p>
    <w:p w14:paraId="1FF7180C">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【评审项25】</w:t>
      </w:r>
      <w:r>
        <w:rPr>
          <w:rFonts w:hint="eastAsia" w:asciiTheme="minorEastAsia" w:hAnsiTheme="minorEastAsia" w:eastAsiaTheme="minorEastAsia" w:cstheme="minorEastAsia"/>
          <w:color w:val="000000"/>
          <w:sz w:val="20"/>
          <w:szCs w:val="20"/>
        </w:rPr>
        <w:t>4.8、液氮杜瓦瓶：具有驱动泵实现可自动连续72小时冷冻条件下运行；</w:t>
      </w:r>
    </w:p>
    <w:p w14:paraId="46F780BA">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【评审项26】</w:t>
      </w:r>
      <w:r>
        <w:rPr>
          <w:rFonts w:hint="eastAsia" w:asciiTheme="minorEastAsia" w:hAnsiTheme="minorEastAsia" w:eastAsiaTheme="minorEastAsia" w:cstheme="minorEastAsia"/>
          <w:color w:val="000000"/>
          <w:sz w:val="20"/>
          <w:szCs w:val="20"/>
        </w:rPr>
        <w:t>4.9、冷冻样品杆：高真空冷冻上样；</w:t>
      </w:r>
    </w:p>
    <w:p w14:paraId="30CB235E">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5、单颗粒分析成像系统功能：</w:t>
      </w:r>
    </w:p>
    <w:p w14:paraId="111A64C6">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【评审项27】</w:t>
      </w:r>
      <w:r>
        <w:rPr>
          <w:rFonts w:hint="eastAsia" w:asciiTheme="minorEastAsia" w:hAnsiTheme="minorEastAsia" w:eastAsiaTheme="minorEastAsia" w:cstheme="minorEastAsia"/>
          <w:color w:val="000000"/>
          <w:sz w:val="20"/>
          <w:szCs w:val="20"/>
        </w:rPr>
        <w:t>5.1 分析性能：以铁蛋白为测试要求≤5埃；</w:t>
      </w:r>
    </w:p>
    <w:p w14:paraId="6A75D546">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【评审项28】</w:t>
      </w:r>
      <w:r>
        <w:rPr>
          <w:rFonts w:hint="eastAsia" w:asciiTheme="minorEastAsia" w:hAnsiTheme="minorEastAsia" w:eastAsiaTheme="minorEastAsia" w:cstheme="minorEastAsia"/>
          <w:color w:val="000000"/>
          <w:sz w:val="20"/>
          <w:szCs w:val="20"/>
        </w:rPr>
        <w:t>5.2 存储：可对蛋白靶点实验方案进行存储，存储组数≥3组；</w:t>
      </w:r>
    </w:p>
    <w:p w14:paraId="3EB50E3C">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【评审项29】</w:t>
      </w:r>
      <w:r>
        <w:rPr>
          <w:rFonts w:hint="eastAsia" w:asciiTheme="minorEastAsia" w:hAnsiTheme="minorEastAsia" w:eastAsiaTheme="minorEastAsia" w:cstheme="minorEastAsia"/>
          <w:color w:val="000000"/>
          <w:sz w:val="20"/>
          <w:szCs w:val="20"/>
        </w:rPr>
        <w:t>5.3 结构设置：提供预定义和定制化的蛋白结构设置；</w:t>
      </w:r>
    </w:p>
    <w:p w14:paraId="58BD86C9">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【评审项30】</w:t>
      </w:r>
      <w:r>
        <w:rPr>
          <w:rFonts w:hint="eastAsia" w:asciiTheme="minorEastAsia" w:hAnsiTheme="minorEastAsia" w:eastAsiaTheme="minorEastAsia" w:cstheme="minorEastAsia"/>
          <w:color w:val="000000"/>
          <w:sz w:val="20"/>
          <w:szCs w:val="20"/>
        </w:rPr>
        <w:t>5.4 数据采集：有开放式应用程序编程接口，可以评估蛋白样品图像质量；</w:t>
      </w:r>
    </w:p>
    <w:p w14:paraId="4B3F22D4">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6、蛋白样品处理：</w:t>
      </w:r>
    </w:p>
    <w:p w14:paraId="1DDABC8E">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【评审项31】</w:t>
      </w:r>
      <w:r>
        <w:rPr>
          <w:rFonts w:hint="eastAsia" w:asciiTheme="minorEastAsia" w:hAnsiTheme="minorEastAsia" w:eastAsiaTheme="minorEastAsia" w:cstheme="minorEastAsia"/>
          <w:color w:val="000000"/>
          <w:sz w:val="20"/>
          <w:szCs w:val="20"/>
        </w:rPr>
        <w:t>6.1 最高转速：≥100,000 RPM；</w:t>
      </w:r>
    </w:p>
    <w:p w14:paraId="5E1A9526">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【评审项32】</w:t>
      </w:r>
      <w:r>
        <w:rPr>
          <w:rFonts w:hint="eastAsia" w:asciiTheme="minorEastAsia" w:hAnsiTheme="minorEastAsia" w:eastAsiaTheme="minorEastAsia" w:cstheme="minorEastAsia"/>
          <w:color w:val="000000"/>
          <w:sz w:val="20"/>
          <w:szCs w:val="20"/>
        </w:rPr>
        <w:t>6.2 最大相对离心力：≥800,000xg；</w:t>
      </w:r>
    </w:p>
    <w:p w14:paraId="1F18C6DC">
      <w:pPr>
        <w:pStyle w:val="7"/>
        <w:keepNext w:val="0"/>
        <w:keepLines w:val="0"/>
        <w:pageBreakBefore w:val="0"/>
        <w:widowControl/>
        <w:kinsoku/>
        <w:wordWrap/>
        <w:overflowPunct/>
        <w:topLinePunct w:val="0"/>
        <w:autoSpaceDE/>
        <w:autoSpaceDN/>
        <w:bidi w:val="0"/>
        <w:adjustRightInd/>
        <w:snapToGrid/>
        <w:spacing w:line="400" w:lineRule="atLeast"/>
        <w:ind w:firstLine="48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color w:val="000000"/>
          <w:sz w:val="20"/>
          <w:szCs w:val="20"/>
        </w:rPr>
        <w:t>【评审项33】</w:t>
      </w:r>
      <w:r>
        <w:rPr>
          <w:rFonts w:hint="eastAsia" w:asciiTheme="minorEastAsia" w:hAnsiTheme="minorEastAsia" w:eastAsiaTheme="minorEastAsia" w:cstheme="minorEastAsia"/>
          <w:color w:val="000000"/>
          <w:sz w:val="20"/>
          <w:szCs w:val="20"/>
        </w:rPr>
        <w:t>6.3 转子参数：8×6.5ml钛合金定角转头；</w:t>
      </w:r>
    </w:p>
    <w:p w14:paraId="086E5F28">
      <w:pPr>
        <w:pStyle w:val="7"/>
        <w:keepNext w:val="0"/>
        <w:keepLines w:val="0"/>
        <w:pageBreakBefore w:val="0"/>
        <w:widowControl/>
        <w:kinsoku/>
        <w:wordWrap/>
        <w:overflowPunct/>
        <w:topLinePunct w:val="0"/>
        <w:autoSpaceDE/>
        <w:autoSpaceDN/>
        <w:bidi w:val="0"/>
        <w:adjustRightInd/>
        <w:snapToGrid/>
        <w:spacing w:line="400" w:lineRule="atLeast"/>
        <w:ind w:firstLine="562"/>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szCs w:val="20"/>
        </w:rPr>
        <w:t>★</w:t>
      </w:r>
      <w:r>
        <w:rPr>
          <w:rFonts w:hint="eastAsia" w:asciiTheme="minorEastAsia" w:hAnsiTheme="minorEastAsia" w:eastAsiaTheme="minorEastAsia" w:cstheme="minorEastAsia"/>
          <w:b/>
          <w:color w:val="000000"/>
          <w:sz w:val="20"/>
          <w:szCs w:val="20"/>
        </w:rPr>
        <w:t>二、详细配置:</w:t>
      </w:r>
      <w:r>
        <w:rPr>
          <w:rFonts w:hint="eastAsia" w:asciiTheme="minorEastAsia" w:hAnsiTheme="minorEastAsia" w:eastAsiaTheme="minorEastAsia" w:cstheme="minorEastAsia"/>
          <w:color w:val="000000"/>
          <w:sz w:val="20"/>
          <w:szCs w:val="20"/>
        </w:rPr>
        <w:t>主机1套。</w:t>
      </w:r>
    </w:p>
    <w:p w14:paraId="0B512687">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三、商务要求（以“★”标示的内容为不允许负偏离的实质性要求）</w:t>
      </w:r>
    </w:p>
    <w:p w14:paraId="0EE53D1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6"/>
        <w:gridCol w:w="1189"/>
        <w:gridCol w:w="1637"/>
        <w:gridCol w:w="6330"/>
      </w:tblGrid>
      <w:tr w14:paraId="316A0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4247AD5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597" w:type="pct"/>
          </w:tcPr>
          <w:p w14:paraId="2A5D1D5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参数性质</w:t>
            </w:r>
          </w:p>
        </w:tc>
        <w:tc>
          <w:tcPr>
            <w:tcW w:w="822" w:type="pct"/>
          </w:tcPr>
          <w:p w14:paraId="5583406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类型</w:t>
            </w:r>
          </w:p>
        </w:tc>
        <w:tc>
          <w:tcPr>
            <w:tcW w:w="3179" w:type="pct"/>
          </w:tcPr>
          <w:p w14:paraId="5A50A3E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w:t>
            </w:r>
          </w:p>
        </w:tc>
      </w:tr>
      <w:tr w14:paraId="3C57A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2F56CE0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597" w:type="pct"/>
          </w:tcPr>
          <w:p w14:paraId="01E8B6B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54F64A7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交货时间</w:t>
            </w:r>
          </w:p>
        </w:tc>
        <w:tc>
          <w:tcPr>
            <w:tcW w:w="3179" w:type="pct"/>
          </w:tcPr>
          <w:p w14:paraId="3FE9D80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合同签订后90天内到货并免费安装调试达到可供试运行的程度。</w:t>
            </w:r>
          </w:p>
        </w:tc>
      </w:tr>
      <w:tr w14:paraId="28276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445ECFC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597" w:type="pct"/>
          </w:tcPr>
          <w:p w14:paraId="1380BA2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44547BF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交货地点</w:t>
            </w:r>
          </w:p>
        </w:tc>
        <w:tc>
          <w:tcPr>
            <w:tcW w:w="3179" w:type="pct"/>
          </w:tcPr>
          <w:p w14:paraId="1C2CB1D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福建中医药大学旗山校区。</w:t>
            </w:r>
          </w:p>
        </w:tc>
      </w:tr>
      <w:tr w14:paraId="3874F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101ACB8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597" w:type="pct"/>
          </w:tcPr>
          <w:p w14:paraId="6E8FEFB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71C8BA5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交货条件</w:t>
            </w:r>
          </w:p>
        </w:tc>
        <w:tc>
          <w:tcPr>
            <w:tcW w:w="3179" w:type="pct"/>
          </w:tcPr>
          <w:p w14:paraId="1694480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交货时应提供设备的装箱单等证明材料，设备需为厂家原包装未拆封。</w:t>
            </w:r>
          </w:p>
        </w:tc>
      </w:tr>
      <w:tr w14:paraId="20D90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3ECA121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597" w:type="pct"/>
          </w:tcPr>
          <w:p w14:paraId="0E7A0C9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75AE83A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是否邀请投标人验收</w:t>
            </w:r>
          </w:p>
        </w:tc>
        <w:tc>
          <w:tcPr>
            <w:tcW w:w="3179" w:type="pct"/>
          </w:tcPr>
          <w:p w14:paraId="29C78A3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不邀请投标人验收</w:t>
            </w:r>
          </w:p>
        </w:tc>
      </w:tr>
      <w:tr w14:paraId="5D0EA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2623457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597" w:type="pct"/>
          </w:tcPr>
          <w:p w14:paraId="0451454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2391E72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履约验收方式</w:t>
            </w:r>
          </w:p>
        </w:tc>
        <w:tc>
          <w:tcPr>
            <w:tcW w:w="3179" w:type="pct"/>
          </w:tcPr>
          <w:p w14:paraId="4613CB3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1、期次1，说明：按招标文件要求及合同约定执行。</w:t>
            </w:r>
          </w:p>
        </w:tc>
      </w:tr>
      <w:tr w14:paraId="5937C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5DEE863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597" w:type="pct"/>
          </w:tcPr>
          <w:p w14:paraId="0A0243B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345DB92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合同支付方式</w:t>
            </w:r>
          </w:p>
        </w:tc>
        <w:tc>
          <w:tcPr>
            <w:tcW w:w="3179" w:type="pct"/>
          </w:tcPr>
          <w:p w14:paraId="5D0DD392">
            <w:pPr>
              <w:pStyle w:val="7"/>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1、进度款，此为系统固定模板</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合同支付方式具体详见“三、商务要求，序号8：其他”，达到付款条件起30日内，支付合同总金额的100.00%</w:t>
            </w:r>
          </w:p>
        </w:tc>
      </w:tr>
      <w:tr w14:paraId="0E196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39AF7E2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597" w:type="pct"/>
          </w:tcPr>
          <w:p w14:paraId="0AADB35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6BED5A0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3179" w:type="pct"/>
          </w:tcPr>
          <w:p w14:paraId="5CA4B258">
            <w:pPr>
              <w:pStyle w:val="7"/>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缴纳, 本采购包履约保证金为合同金额的5%</w:t>
            </w:r>
          </w:p>
          <w:p w14:paraId="57AB68B1">
            <w:pPr>
              <w:pStyle w:val="7"/>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缴纳方式：银行转账，支票/汇票/本票，保函/保险</w:t>
            </w:r>
          </w:p>
          <w:p w14:paraId="6E8B0E4A">
            <w:pPr>
              <w:pStyle w:val="7"/>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说明：中标人在签订合同时向采购人缴纳中标总价的5%履约保证金（合同包中标价不足30万不需缴纳）。履约保证金在合同下所列项目验收合格后，无合同条款所规定的未了事件，采购人无息退还。若发生下列情况之一，采购人将提出追索和索赔：a.中标人不按采购文件规定履行采购合同；b.签定合同后，中标人不按合同规定的条件供应软件和提供服务。c、如果中标人未能按合同规定履行其义务，采购人有权从履约保证金中取得补偿。</w:t>
            </w:r>
          </w:p>
        </w:tc>
      </w:tr>
      <w:tr w14:paraId="3FE7A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0" w:type="pct"/>
          </w:tcPr>
          <w:p w14:paraId="29415C4B">
            <w:pPr>
              <w:pStyle w:val="7"/>
              <w:jc w:val="both"/>
              <w:rPr>
                <w:rFonts w:hint="eastAsia" w:asciiTheme="minorEastAsia" w:hAnsiTheme="minorEastAsia" w:eastAsiaTheme="minorEastAsia" w:cstheme="minorEastAsia"/>
                <w:lang w:val="en-US" w:eastAsia="zh-CN"/>
              </w:rPr>
            </w:pPr>
            <w:r>
              <w:rPr>
                <w:rFonts w:hint="eastAsia" w:asciiTheme="minorEastAsia" w:hAnsiTheme="minorEastAsia" w:cstheme="minorEastAsia"/>
                <w:lang w:val="en-US" w:eastAsia="zh-CN"/>
              </w:rPr>
              <w:t>8</w:t>
            </w:r>
          </w:p>
        </w:tc>
        <w:tc>
          <w:tcPr>
            <w:tcW w:w="597" w:type="pct"/>
          </w:tcPr>
          <w:p w14:paraId="0DC9062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822" w:type="pct"/>
          </w:tcPr>
          <w:p w14:paraId="47898A24">
            <w:pPr>
              <w:pStyle w:val="7"/>
              <w:jc w:val="both"/>
              <w:rPr>
                <w:rFonts w:hint="eastAsia" w:asciiTheme="minorEastAsia" w:hAnsiTheme="minorEastAsia" w:eastAsiaTheme="minorEastAsia" w:cstheme="minorEastAsia"/>
                <w:lang w:val="en-US" w:eastAsia="zh-CN"/>
              </w:rPr>
            </w:pPr>
            <w:r>
              <w:rPr>
                <w:rFonts w:hint="eastAsia" w:asciiTheme="minorEastAsia" w:hAnsiTheme="minorEastAsia" w:cstheme="minorEastAsia"/>
                <w:lang w:val="en-US" w:eastAsia="zh-CN"/>
              </w:rPr>
              <w:t>其他</w:t>
            </w:r>
          </w:p>
        </w:tc>
        <w:tc>
          <w:tcPr>
            <w:tcW w:w="3179" w:type="pct"/>
          </w:tcPr>
          <w:p w14:paraId="36E7EAB6">
            <w:pPr>
              <w:pStyle w:val="7"/>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合同支付方式：（1）国产设备：最终验收合格后1个月内支付100%的合同款。（2）100万元以下进口免税设备：合同生效后，预付合同款的50%；最终验收合格后的1个月内支付剩余50%的合同款。（3）100万元以上（含100万元）进口免税设备：合同生效后，预付合同款的60%；最终验收合格后的1个月内，支付剩余40% 的合同款。《注：招标文件中合同支付方式存在不同的以此处为准》</w:t>
            </w:r>
          </w:p>
        </w:tc>
      </w:tr>
    </w:tbl>
    <w:p w14:paraId="52209B0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其他商务要求</w:t>
      </w:r>
    </w:p>
    <w:p w14:paraId="280838A4">
      <w:pPr>
        <w:pStyle w:val="7"/>
        <w:keepNext w:val="0"/>
        <w:keepLines w:val="0"/>
        <w:pageBreakBefore w:val="0"/>
        <w:widowControl/>
        <w:kinsoku/>
        <w:wordWrap/>
        <w:overflowPunct/>
        <w:topLinePunct w:val="0"/>
        <w:autoSpaceDE/>
        <w:autoSpaceDN/>
        <w:bidi w:val="0"/>
        <w:adjustRightInd/>
        <w:snapToGrid/>
        <w:spacing w:line="400" w:lineRule="atLeast"/>
        <w:ind w:firstLine="48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b/>
          <w:sz w:val="20"/>
          <w:szCs w:val="20"/>
          <w:lang w:val="en-US" w:eastAsia="zh-CN"/>
        </w:rPr>
        <w:t>9</w:t>
      </w:r>
      <w:r>
        <w:rPr>
          <w:rFonts w:hint="eastAsia" w:asciiTheme="minorEastAsia" w:hAnsiTheme="minorEastAsia" w:eastAsiaTheme="minorEastAsia" w:cstheme="minorEastAsia"/>
          <w:b/>
          <w:sz w:val="20"/>
          <w:szCs w:val="20"/>
        </w:rPr>
        <w:t>、质量保证期及售后服务</w:t>
      </w:r>
    </w:p>
    <w:p w14:paraId="78CF2E38">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9</w:t>
      </w:r>
      <w:r>
        <w:rPr>
          <w:rFonts w:hint="eastAsia" w:asciiTheme="minorEastAsia" w:hAnsiTheme="minorEastAsia" w:eastAsiaTheme="minorEastAsia" w:cstheme="minorEastAsia"/>
          <w:sz w:val="20"/>
          <w:szCs w:val="20"/>
        </w:rPr>
        <w:t>.1质量保证期：3年，验收合格之日起计算。</w:t>
      </w:r>
    </w:p>
    <w:p w14:paraId="127A3AF7">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9</w:t>
      </w:r>
      <w:r>
        <w:rPr>
          <w:rFonts w:hint="eastAsia" w:asciiTheme="minorEastAsia" w:hAnsiTheme="minorEastAsia" w:eastAsiaTheme="minorEastAsia" w:cstheme="minorEastAsia"/>
          <w:sz w:val="20"/>
          <w:szCs w:val="20"/>
        </w:rPr>
        <w:t>.2保修期内：免费进行设备安全调试；免费上门维修保养及更换配件；在质量保证期内设备运行发生故障时，中标人在接到采购人故障通知后2小时内响应要求，24小时内应委派专业技术人员到现场免费提供咨询、维修和更换有缺陷的零部件或整机等服务及免收工时费，并及时填写维修报告(包括故障原因、处理情况及采购人意见等)报采购人备案，若48小时内无法排除故障，则应先提供同 档次备用机供采购人使用。其中发生一切费用由中标人承担。质量保证期内中标人有责任对设备进行不定期的巡查检修。</w:t>
      </w:r>
    </w:p>
    <w:p w14:paraId="1AE4CC5F">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9</w:t>
      </w:r>
      <w:r>
        <w:rPr>
          <w:rFonts w:hint="eastAsia" w:asciiTheme="minorEastAsia" w:hAnsiTheme="minorEastAsia" w:eastAsiaTheme="minorEastAsia" w:cstheme="minorEastAsia"/>
          <w:sz w:val="20"/>
          <w:szCs w:val="20"/>
        </w:rPr>
        <w:t>.3保修期外：设备保修期过后，收到采购人通知后2小时内响应，24小时内派人到达现场解决，承担终身维修服务。维修过程中以最优惠价格提供服务。</w:t>
      </w:r>
    </w:p>
    <w:p w14:paraId="4B7DA285">
      <w:pPr>
        <w:pStyle w:val="7"/>
        <w:keepNext w:val="0"/>
        <w:keepLines w:val="0"/>
        <w:pageBreakBefore w:val="0"/>
        <w:widowControl/>
        <w:kinsoku/>
        <w:wordWrap/>
        <w:overflowPunct/>
        <w:topLinePunct w:val="0"/>
        <w:autoSpaceDE/>
        <w:autoSpaceDN/>
        <w:bidi w:val="0"/>
        <w:adjustRightInd/>
        <w:snapToGrid/>
        <w:spacing w:line="400" w:lineRule="atLeast"/>
        <w:ind w:firstLine="42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b/>
          <w:sz w:val="20"/>
          <w:szCs w:val="20"/>
          <w:lang w:val="en-US" w:eastAsia="zh-CN"/>
        </w:rPr>
        <w:t>10</w:t>
      </w:r>
      <w:r>
        <w:rPr>
          <w:rFonts w:hint="eastAsia" w:asciiTheme="minorEastAsia" w:hAnsiTheme="minorEastAsia" w:eastAsiaTheme="minorEastAsia" w:cstheme="minorEastAsia"/>
          <w:b/>
          <w:sz w:val="20"/>
          <w:szCs w:val="20"/>
        </w:rPr>
        <w:t>、安装和调试：</w:t>
      </w:r>
    </w:p>
    <w:p w14:paraId="016732B3">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.1货物必须达到以上招标文件要求的技术指标，实现采购人要求，保证货物的正常运行。</w:t>
      </w:r>
    </w:p>
    <w:p w14:paraId="6BD8D9A4">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2中标人应负责按所签订合同的具体要求、具体数量、具体地点将货物运送到采购人指定地点并负责安装，安装并经最终验收合格后，交付采购人使用。安装、调试所需工具、仪表及安装材料等均由中标人负责提供。</w:t>
      </w:r>
    </w:p>
    <w:p w14:paraId="7F87A2AD">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.3中标人负责组织专业技术人员进行货物安装，采购人应提供必须的基本条件和专人配合，保证各项安装工作顺利进行。</w:t>
      </w:r>
    </w:p>
    <w:p w14:paraId="55D7B138">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.4安装到位后的货物由中标人及采购人共同进行质量验收签字。</w:t>
      </w:r>
    </w:p>
    <w:p w14:paraId="53DDDE02">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.5货物验收前，中标人须提供完整的技术资料(包括产品中文说明书、中文采购人手册、出厂明细表或装箱单、制造厂质量合格证书及其他相关文件资料)。</w:t>
      </w:r>
    </w:p>
    <w:p w14:paraId="08D16FEC">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.6中标人向采购人提供安装和维护所需特殊专用的工具、备件及清单和中文说明书，其费用包括在投标价格内。</w:t>
      </w:r>
    </w:p>
    <w:p w14:paraId="3C3C1692">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.7中标人在采购人安装现场进行最终验收所发生的一切费用由中标人承担。</w:t>
      </w:r>
    </w:p>
    <w:p w14:paraId="494B42FC">
      <w:pPr>
        <w:pStyle w:val="7"/>
        <w:keepNext w:val="0"/>
        <w:keepLines w:val="0"/>
        <w:pageBreakBefore w:val="0"/>
        <w:widowControl/>
        <w:kinsoku/>
        <w:wordWrap/>
        <w:overflowPunct/>
        <w:topLinePunct w:val="0"/>
        <w:autoSpaceDE/>
        <w:autoSpaceDN/>
        <w:bidi w:val="0"/>
        <w:adjustRightInd/>
        <w:snapToGrid/>
        <w:spacing w:line="400" w:lineRule="atLeast"/>
        <w:ind w:firstLine="420"/>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cstheme="minorEastAsia"/>
          <w:sz w:val="20"/>
          <w:szCs w:val="20"/>
          <w:lang w:val="en-US" w:eastAsia="zh-CN"/>
        </w:rPr>
        <w:t>10</w:t>
      </w:r>
      <w:r>
        <w:rPr>
          <w:rFonts w:hint="eastAsia" w:asciiTheme="minorEastAsia" w:hAnsiTheme="minorEastAsia" w:eastAsiaTheme="minorEastAsia" w:cstheme="minorEastAsia"/>
          <w:sz w:val="20"/>
          <w:szCs w:val="20"/>
        </w:rPr>
        <w:t>.8中标人应提供货物使用免费培训和技术服务。</w:t>
      </w:r>
    </w:p>
    <w:p w14:paraId="54E580EF">
      <w:pPr>
        <w:pStyle w:val="7"/>
        <w:keepNext w:val="0"/>
        <w:keepLines w:val="0"/>
        <w:pageBreakBefore w:val="0"/>
        <w:widowControl/>
        <w:kinsoku/>
        <w:wordWrap/>
        <w:overflowPunct/>
        <w:topLinePunct w:val="0"/>
        <w:autoSpaceDE/>
        <w:autoSpaceDN/>
        <w:bidi w:val="0"/>
        <w:adjustRightInd/>
        <w:snapToGrid/>
        <w:spacing w:line="400" w:lineRule="atLeast"/>
        <w:ind w:firstLine="42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1</w:t>
      </w:r>
      <w:r>
        <w:rPr>
          <w:rFonts w:hint="eastAsia" w:asciiTheme="minorEastAsia" w:hAnsiTheme="minorEastAsia" w:cstheme="minorEastAsia"/>
          <w:b/>
          <w:sz w:val="20"/>
          <w:szCs w:val="20"/>
          <w:lang w:val="en-US" w:eastAsia="zh-CN"/>
        </w:rPr>
        <w:t>1</w:t>
      </w:r>
      <w:r>
        <w:rPr>
          <w:rFonts w:hint="eastAsia" w:asciiTheme="minorEastAsia" w:hAnsiTheme="minorEastAsia" w:eastAsiaTheme="minorEastAsia" w:cstheme="minorEastAsia"/>
          <w:b/>
          <w:sz w:val="20"/>
          <w:szCs w:val="20"/>
        </w:rPr>
        <w:t>、验收标准</w:t>
      </w:r>
    </w:p>
    <w:p w14:paraId="2E9994C1">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1</w:t>
      </w:r>
      <w:r>
        <w:rPr>
          <w:rFonts w:hint="eastAsia" w:asciiTheme="minorEastAsia" w:hAnsiTheme="minorEastAsia" w:eastAsiaTheme="minorEastAsia" w:cstheme="minorEastAsia"/>
          <w:sz w:val="20"/>
          <w:szCs w:val="20"/>
        </w:rPr>
        <w:t>.1所有货物按厂家产品验收标准(符合国家或行业或地方标准)、招标文件、投标文件等有关部分内容进行验收。产品质量达到设计要求，安装调试各项指标符合技术参数要求且须通过质检、计量部门的检验。</w:t>
      </w:r>
    </w:p>
    <w:p w14:paraId="4A82C2C9">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1</w:t>
      </w:r>
      <w:r>
        <w:rPr>
          <w:rFonts w:hint="eastAsia" w:asciiTheme="minorEastAsia" w:hAnsiTheme="minorEastAsia" w:eastAsiaTheme="minorEastAsia" w:cstheme="minorEastAsia"/>
          <w:sz w:val="20"/>
          <w:szCs w:val="20"/>
        </w:rPr>
        <w:t>.2验收程序和方法:</w:t>
      </w:r>
    </w:p>
    <w:p w14:paraId="1A930941">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1</w:t>
      </w:r>
      <w:r>
        <w:rPr>
          <w:rFonts w:hint="eastAsia" w:asciiTheme="minorEastAsia" w:hAnsiTheme="minorEastAsia" w:eastAsiaTheme="minorEastAsia" w:cstheme="minorEastAsia"/>
          <w:sz w:val="20"/>
          <w:szCs w:val="20"/>
        </w:rPr>
        <w:t>.2.1初验收：货物送至采购人安装现场后，由双方共同对货物的数量、基本质量、外包装等逐项检验。</w:t>
      </w:r>
    </w:p>
    <w:p w14:paraId="2A25BC48">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1</w:t>
      </w:r>
      <w:r>
        <w:rPr>
          <w:rFonts w:hint="eastAsia" w:asciiTheme="minorEastAsia" w:hAnsiTheme="minorEastAsia" w:eastAsiaTheme="minorEastAsia" w:cstheme="minorEastAsia"/>
          <w:sz w:val="20"/>
          <w:szCs w:val="20"/>
        </w:rPr>
        <w:t>.2.2最终验收：初验合格且设备安装完毕后，设备进行为期30天的试运行。试运行结束后，采购人对其在试运行中的主要指标（如性能、可靠性、稳定性等）进行评价，符合要求后的，最终验收通过；不合格的，中标人需进行更换或整改，并重新调</w:t>
      </w:r>
      <w:r>
        <w:rPr>
          <w:rFonts w:hint="eastAsia" w:asciiTheme="minorEastAsia" w:hAnsiTheme="minorEastAsia" w:eastAsiaTheme="minorEastAsia" w:cstheme="minorEastAsia"/>
          <w:color w:val="auto"/>
          <w:sz w:val="20"/>
          <w:szCs w:val="20"/>
        </w:rPr>
        <w:t>试运行直至达到最终验收合格。验收结果经采购人、中标人双方确认后，双方代表必须按《设备验收清单》（壹式</w:t>
      </w:r>
      <w:r>
        <w:rPr>
          <w:rFonts w:hint="eastAsia" w:asciiTheme="minorEastAsia" w:hAnsiTheme="minorEastAsia" w:cstheme="minorEastAsia"/>
          <w:color w:val="auto"/>
          <w:sz w:val="20"/>
          <w:szCs w:val="20"/>
          <w:lang w:val="en-US" w:eastAsia="zh-CN"/>
        </w:rPr>
        <w:t>肆</w:t>
      </w:r>
      <w:r>
        <w:rPr>
          <w:rFonts w:hint="eastAsia" w:asciiTheme="minorEastAsia" w:hAnsiTheme="minorEastAsia" w:eastAsiaTheme="minorEastAsia" w:cstheme="minorEastAsia"/>
          <w:color w:val="auto"/>
          <w:sz w:val="20"/>
          <w:szCs w:val="20"/>
        </w:rPr>
        <w:t>联）上规定的项目对照本合同填好验收结果并签名、加盖各自单位的公章，由中标人将</w:t>
      </w:r>
      <w:r>
        <w:rPr>
          <w:rFonts w:hint="eastAsia" w:asciiTheme="minorEastAsia" w:hAnsiTheme="minorEastAsia" w:cstheme="minorEastAsia"/>
          <w:color w:val="auto"/>
          <w:sz w:val="20"/>
          <w:szCs w:val="20"/>
          <w:lang w:val="en-US" w:eastAsia="zh-CN"/>
        </w:rPr>
        <w:t>叁</w:t>
      </w:r>
      <w:r>
        <w:rPr>
          <w:rFonts w:hint="eastAsia" w:asciiTheme="minorEastAsia" w:hAnsiTheme="minorEastAsia" w:eastAsiaTheme="minorEastAsia" w:cstheme="minorEastAsia"/>
          <w:color w:val="auto"/>
          <w:sz w:val="20"/>
          <w:szCs w:val="20"/>
        </w:rPr>
        <w:t>联提交给采购人存档。如发现设备与合同规定不符，采购人有权拒绝接受并向中标人提出索赔。如货物在质量保证期内被</w:t>
      </w:r>
      <w:r>
        <w:rPr>
          <w:rFonts w:hint="eastAsia" w:asciiTheme="minorEastAsia" w:hAnsiTheme="minorEastAsia" w:eastAsiaTheme="minorEastAsia" w:cstheme="minorEastAsia"/>
          <w:sz w:val="20"/>
          <w:szCs w:val="20"/>
        </w:rPr>
        <w:t>证明存在缺陷，包括潜在的缺陷或使用不合适的材料，采购人有权凭有关证明文件向中标人提出索赔。</w:t>
      </w:r>
    </w:p>
    <w:p w14:paraId="157D7235">
      <w:pPr>
        <w:pStyle w:val="7"/>
        <w:keepNext w:val="0"/>
        <w:keepLines w:val="0"/>
        <w:pageBreakBefore w:val="0"/>
        <w:widowControl/>
        <w:kinsoku/>
        <w:wordWrap/>
        <w:overflowPunct/>
        <w:topLinePunct w:val="0"/>
        <w:autoSpaceDE/>
        <w:autoSpaceDN/>
        <w:bidi w:val="0"/>
        <w:adjustRightInd/>
        <w:snapToGrid/>
        <w:spacing w:line="400" w:lineRule="atLeast"/>
        <w:ind w:firstLine="422"/>
        <w:jc w:val="both"/>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1</w:t>
      </w:r>
      <w:r>
        <w:rPr>
          <w:rFonts w:hint="eastAsia" w:asciiTheme="minorEastAsia" w:hAnsiTheme="minorEastAsia" w:cstheme="minorEastAsia"/>
          <w:b/>
          <w:sz w:val="20"/>
          <w:szCs w:val="20"/>
          <w:lang w:val="en-US" w:eastAsia="zh-CN"/>
        </w:rPr>
        <w:t>2</w:t>
      </w:r>
      <w:r>
        <w:rPr>
          <w:rFonts w:hint="eastAsia" w:asciiTheme="minorEastAsia" w:hAnsiTheme="minorEastAsia" w:eastAsiaTheme="minorEastAsia" w:cstheme="minorEastAsia"/>
          <w:b/>
          <w:sz w:val="20"/>
          <w:szCs w:val="20"/>
        </w:rPr>
        <w:t>、违约责任</w:t>
      </w:r>
    </w:p>
    <w:p w14:paraId="13BF6288">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1中标人未达到招标文件交货时间要求，即超过供货时间而未完成规定的义务，属中标人的原因造成拖延的要承担违约责任；违约款为每延期6天按成交总金额的0.5%支付违约金，不足6天按6天计算；同时中标人应继续履行本合同的责任和义务。</w:t>
      </w:r>
    </w:p>
    <w:p w14:paraId="13E9F506">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.2中标人所交设备不符合本合同要求的应无偿更换所交货物，所涉及的相关费用及损失由中标人承担，并处以成交总金额5% 的违约金。若更换设备时间超出招标文件要求的参照1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.1条的违约款额度对中标人进行处罚，直到更换的设备达到本合同的要求止；中标人应继续履行本合同的责任和义务。</w:t>
      </w:r>
    </w:p>
    <w:p w14:paraId="23270D95">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.3若出现以下情况采购人有权选择解除合同：</w:t>
      </w:r>
    </w:p>
    <w:p w14:paraId="37EA4892">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.3.1属于中标人原因造成拖延，超过招标文件规定的供货时间30天；</w:t>
      </w:r>
    </w:p>
    <w:p w14:paraId="36F1FEAD">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.3.2中标人所交设备不符合本合同要求，从采购人第一次通知中标人起算，中标人不整改或经更换、整改仍不符合，时间超过30天；</w:t>
      </w:r>
    </w:p>
    <w:p w14:paraId="393ECD5A">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.4中标人在解除合同7个工作日内退还采购人所有已支付的款项,并向采购人偿付成交总金额30% 的违约金。</w:t>
      </w:r>
    </w:p>
    <w:p w14:paraId="05A5504E">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.5出现第3条情况后，采购人有权无偿使用中标人设备直到采购人重新采购新设备可启用为止，所造成的一切损失由中标人承担。</w:t>
      </w:r>
    </w:p>
    <w:p w14:paraId="7FC2D6C7">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.6采购人或中标人均不得擅自无故终止本合同，如双方中的任何一方造成前述事实，则违约方将向另一方支付中途毁约违约金，金额为本合同总价的30% 。</w:t>
      </w:r>
    </w:p>
    <w:p w14:paraId="6EF70CA3">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7因不可抗力造成违约的，可以免责，但违约方必须在72小时内及时提交相关书面报告材料通知另一方，减轻可能给对方造成损失，并应在不可抗力事件消除后的10天内提供在有关部门出具的证明给另一方，作为不可抗力的证明。违约方应尽一切努力减轻和克服不可抗力的影响，并在不可抗力事件后，继续履行合同职责。</w:t>
      </w:r>
    </w:p>
    <w:p w14:paraId="52EA646D">
      <w:pPr>
        <w:pStyle w:val="7"/>
        <w:keepNext w:val="0"/>
        <w:keepLines w:val="0"/>
        <w:pageBreakBefore w:val="0"/>
        <w:widowControl/>
        <w:kinsoku/>
        <w:wordWrap/>
        <w:overflowPunct/>
        <w:topLinePunct w:val="0"/>
        <w:autoSpaceDE/>
        <w:autoSpaceDN/>
        <w:bidi w:val="0"/>
        <w:adjustRightInd/>
        <w:snapToGrid/>
        <w:spacing w:line="400" w:lineRule="atLeast"/>
        <w:ind w:firstLine="42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.8在明确违约责任后，中标人应在接到书面通知书起七天内支付违约金、赔偿金等。</w:t>
      </w:r>
    </w:p>
    <w:p w14:paraId="6ADC624E">
      <w:pPr>
        <w:pStyle w:val="7"/>
        <w:keepNext w:val="0"/>
        <w:keepLines w:val="0"/>
        <w:pageBreakBefore w:val="0"/>
        <w:widowControl/>
        <w:kinsoku/>
        <w:wordWrap/>
        <w:overflowPunct/>
        <w:topLinePunct w:val="0"/>
        <w:autoSpaceDE/>
        <w:autoSpaceDN/>
        <w:bidi w:val="0"/>
        <w:adjustRightInd/>
        <w:snapToGrid/>
        <w:spacing w:line="400" w:lineRule="atLeast"/>
        <w:ind w:firstLine="40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0"/>
          <w:szCs w:val="20"/>
        </w:rPr>
        <w:t>1</w:t>
      </w:r>
      <w:r>
        <w:rPr>
          <w:rFonts w:hint="eastAsia" w:asciiTheme="minorEastAsia" w:hAnsiTheme="minorEastAsia" w:cstheme="minorEastAsia"/>
          <w:sz w:val="20"/>
          <w:szCs w:val="20"/>
          <w:lang w:val="en-US" w:eastAsia="zh-CN"/>
        </w:rPr>
        <w:t>2</w:t>
      </w:r>
      <w:r>
        <w:rPr>
          <w:rFonts w:hint="eastAsia" w:asciiTheme="minorEastAsia" w:hAnsiTheme="minorEastAsia" w:eastAsiaTheme="minorEastAsia" w:cstheme="minorEastAsia"/>
          <w:sz w:val="20"/>
          <w:szCs w:val="20"/>
        </w:rPr>
        <w:t>.9合同争议处理方式：若发生争议，由采购人和中标人双方友好协商解决，协商不成时，任何一方均可向采购人所在地人民法院提起诉讼。</w:t>
      </w:r>
    </w:p>
    <w:p w14:paraId="28527698">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四、其他事项</w:t>
      </w:r>
    </w:p>
    <w:p w14:paraId="460C37C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1、除招标文件另有规定外，若出现有关法律、法规和规章有强制性规定但招标文件未列明的情形，则投标人应按照有关法律、法规和规章强制性规定执行。</w:t>
      </w:r>
    </w:p>
    <w:p w14:paraId="19FD2B0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2、其他：</w:t>
      </w:r>
    </w:p>
    <w:p w14:paraId="4BC54C7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2.1本项目不允许中标人以任何名义和理由进行转包,如有发现,视为中标人违约,对采购人造成的损失的,需另行支付相应的赔偿。 2.2本招标文件未明确的其它约定事项或条款,待采购人与中标人签订合同时，由双方协商订立。</w:t>
      </w:r>
    </w:p>
    <w:p w14:paraId="40EF672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325A2FC">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第六章 政府采购合同</w:t>
      </w:r>
    </w:p>
    <w:p w14:paraId="51D737C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14:paraId="6B16BA01">
      <w:pPr>
        <w:pStyle w:val="7"/>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 xml:space="preserve"> 政府采购货物买卖合同</w:t>
      </w:r>
    </w:p>
    <w:p w14:paraId="6481D87F">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（试行）</w:t>
      </w:r>
    </w:p>
    <w:p w14:paraId="5A44A8A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项目名称： __________________________</w:t>
      </w:r>
    </w:p>
    <w:p w14:paraId="1EBA207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合同编号： __________________________</w:t>
      </w:r>
    </w:p>
    <w:p w14:paraId="08ACF07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甲   方： __________________________</w:t>
      </w:r>
    </w:p>
    <w:p w14:paraId="2416A2F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乙   方：__________________________</w:t>
      </w:r>
    </w:p>
    <w:p w14:paraId="68A024D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签订时间：__________________________</w:t>
      </w:r>
    </w:p>
    <w:p w14:paraId="1D6BE51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32D84BA9">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使用说明</w:t>
      </w:r>
    </w:p>
    <w:p w14:paraId="69C7C1A6">
      <w:pPr>
        <w:pStyle w:val="7"/>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1.本合同标准文本适用于购买现成货物的采购项目，不包括需要供应商定制开发、创新研发的货物采购项目。</w:t>
      </w:r>
    </w:p>
    <w:p w14:paraId="40AF290D">
      <w:pPr>
        <w:pStyle w:val="7"/>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2.本合同标准文本为政府采购货物买卖合同编制提供参考，可以结合采购项目具体情况，对文本作必要的调整修订后使用。</w:t>
      </w:r>
    </w:p>
    <w:p w14:paraId="0C90E8DB">
      <w:pPr>
        <w:pStyle w:val="7"/>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3.本合同标准文本各条款中，如涉及填写多家供应商、制造商，多种采购标的、分包主要内容等信息的，可根据采购项目具体情况添加信息项。</w:t>
      </w:r>
    </w:p>
    <w:p w14:paraId="4010ACDE">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第一节 政府采购合同协议书</w:t>
      </w:r>
    </w:p>
    <w:p w14:paraId="03D4949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甲方（全称）：___________________________（采购人、受采购人委托签订合同的单位或采购文件约定的合同甲方）</w:t>
      </w:r>
    </w:p>
    <w:p w14:paraId="69EBC60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乙方1（全称）：___________________________（供应商）</w:t>
      </w:r>
    </w:p>
    <w:p w14:paraId="5E05497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乙方2（全称）：___________________________（联合体成员供应商或其他合同主体）（如有）</w:t>
      </w:r>
    </w:p>
    <w:p w14:paraId="74F29EC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乙方3（全称）：___________________________（联合体成员供应商或其他合同主体）（如有）</w:t>
      </w:r>
    </w:p>
    <w:p w14:paraId="4A6065E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63EAF545">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1.项目信息</w:t>
      </w:r>
    </w:p>
    <w:p w14:paraId="626314E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(1)采购项目名称：___________________________</w:t>
      </w:r>
    </w:p>
    <w:p w14:paraId="11745F9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采购项目编号：____________________________</w:t>
      </w:r>
    </w:p>
    <w:p w14:paraId="69840D0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(2)采购计划编号：___________________________</w:t>
      </w:r>
    </w:p>
    <w:p w14:paraId="6860E7D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(3)项目内容：</w:t>
      </w:r>
    </w:p>
    <w:p w14:paraId="1A6AFBA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采购标的及数量（台/套/个/架/组等）：___________________</w:t>
      </w:r>
    </w:p>
    <w:p w14:paraId="24D7ACD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 ___________________ 规格型号：___________________</w:t>
      </w:r>
    </w:p>
    <w:p w14:paraId="78BB581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采购标的的技术要求、商务要求具体见附件。</w:t>
      </w:r>
    </w:p>
    <w:p w14:paraId="31D8D70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①涉及信息类产品，请填写该产品关键部件的品牌、型号：</w:t>
      </w:r>
    </w:p>
    <w:p w14:paraId="3368477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 ___________________</w:t>
      </w:r>
    </w:p>
    <w:p w14:paraId="369C203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099EACE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07AA8A3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62C4E5E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（注：关键部件是指财政部会同有关部门发布的政府采购需求标准规定的需要通过国家有关部门指定的测评机构开展的安全可靠测评的软硬件，如CPU芯片、操作系统、数据库等。）</w:t>
      </w:r>
    </w:p>
    <w:p w14:paraId="06591C3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②涉及车辆采购，请填写是否属于新能源汽车：</w:t>
      </w:r>
    </w:p>
    <w:p w14:paraId="0CE7B12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数量：__________  金额：__________</w:t>
      </w:r>
    </w:p>
    <w:p w14:paraId="24378B67">
      <w:pPr>
        <w:pStyle w:val="7"/>
        <w:spacing w:line="30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7EA17CC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(4)政府采购组织形式：政府集中采购 部门集中采购 分散采购</w:t>
      </w:r>
    </w:p>
    <w:p w14:paraId="2B1C3AB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(5)政府采购方式：公开招标 邀请招标 竞争性谈判 竞争性磋商询价 单一来源 框架协议 其他：____________________</w:t>
      </w:r>
    </w:p>
    <w:p w14:paraId="24ADEA3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(6)中标（成交）采购标的制造商是否为中小企业：是否</w:t>
      </w:r>
    </w:p>
    <w:p w14:paraId="2D48E71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本合同是否为专门面向中小企业的采购合同（中小企业预留合同）：是否</w:t>
      </w:r>
    </w:p>
    <w:p w14:paraId="3264AB4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若本项目不专门面向中小企业采购，是否给予小微企业评审优惠：是否</w:t>
      </w:r>
    </w:p>
    <w:p w14:paraId="0C71169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中标（成交）采购标的制造商是否为残疾人福利性单位：是否</w:t>
      </w:r>
    </w:p>
    <w:p w14:paraId="332B99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中标（成交）采购标的制造商是否为监狱企业：是否</w:t>
      </w:r>
    </w:p>
    <w:p w14:paraId="080C1F1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(7)合同是否分包：是否</w:t>
      </w:r>
    </w:p>
    <w:p w14:paraId="74C5CE3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分包主要内容：________________________________________</w:t>
      </w:r>
    </w:p>
    <w:p w14:paraId="5C01302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分包供应商/制造商名称（如供应商和制造商不同，请分别填写）：</w:t>
      </w:r>
    </w:p>
    <w:p w14:paraId="26EE29D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________________________________________</w:t>
      </w:r>
    </w:p>
    <w:p w14:paraId="4F40178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分包供应商/制造商类型（如果供应商和制造商不同，只填写制造商类型）：</w:t>
      </w:r>
    </w:p>
    <w:p w14:paraId="0DB4DCA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大型企业中型企业小微型企业</w:t>
      </w:r>
    </w:p>
    <w:p w14:paraId="35DFA5A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残疾人福利性单位监狱企业其他</w:t>
      </w:r>
    </w:p>
    <w:p w14:paraId="67D1014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(8)中标（成交）供应商是否为外商投资企业：是否</w:t>
      </w:r>
    </w:p>
    <w:p w14:paraId="75A6D8C5">
      <w:pPr>
        <w:pStyle w:val="7"/>
        <w:spacing w:line="30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外商投资企业类型：全部由外国投资者投资部分由外国投资者投资</w:t>
      </w:r>
    </w:p>
    <w:p w14:paraId="27C4C2F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（9）是否涉及进口产品：</w:t>
      </w:r>
    </w:p>
    <w:p w14:paraId="40A9A0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金额：__________</w:t>
      </w:r>
    </w:p>
    <w:p w14:paraId="506574C6">
      <w:pPr>
        <w:pStyle w:val="7"/>
        <w:spacing w:line="30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国别：__________  品牌：__________  规格型号__________</w:t>
      </w:r>
    </w:p>
    <w:p w14:paraId="7074AAF9">
      <w:pPr>
        <w:pStyle w:val="7"/>
        <w:spacing w:line="30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2F9919A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（10）是否涉及节能产品：</w:t>
      </w:r>
    </w:p>
    <w:p w14:paraId="7C9DCC6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是，《节能产品政府采购品目清单》的底级品目名称：__________</w:t>
      </w:r>
    </w:p>
    <w:p w14:paraId="6B5664B7">
      <w:pPr>
        <w:pStyle w:val="7"/>
        <w:spacing w:line="30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556F7914">
      <w:pPr>
        <w:pStyle w:val="7"/>
        <w:spacing w:line="30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CBB5A11">
      <w:pPr>
        <w:pStyle w:val="7"/>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是否涉及环境标志产品：</w:t>
      </w:r>
    </w:p>
    <w:p w14:paraId="091D151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是，《环境标志产品政府采购品目清单》的底级品目名称：__________</w:t>
      </w:r>
    </w:p>
    <w:p w14:paraId="543A3302">
      <w:pPr>
        <w:pStyle w:val="7"/>
        <w:spacing w:line="30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48FC932F">
      <w:pPr>
        <w:pStyle w:val="7"/>
        <w:spacing w:line="30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5586BB1E">
      <w:pPr>
        <w:pStyle w:val="7"/>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是否涉及绿色产品：</w:t>
      </w:r>
    </w:p>
    <w:p w14:paraId="259CC64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是，绿色产品政府采购相关政策确定的底级品目名称：__________</w:t>
      </w:r>
    </w:p>
    <w:p w14:paraId="7831216F">
      <w:pPr>
        <w:pStyle w:val="7"/>
        <w:spacing w:line="30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63572652">
      <w:pPr>
        <w:pStyle w:val="7"/>
        <w:spacing w:line="30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29A709D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(11)涉及商品包装和快递包装的，是否参考《商品包装政府采购需求标准（试行）》、《快递包装政府采购需求标准（试行）》明确产品及相关快递服务的具体包装要求：</w:t>
      </w:r>
    </w:p>
    <w:p w14:paraId="3B589D0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         否        不涉及</w:t>
      </w:r>
    </w:p>
    <w:p w14:paraId="29C572AB">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2.合同金额</w:t>
      </w:r>
    </w:p>
    <w:p w14:paraId="1087C71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（1）合同金额小写：____________________</w:t>
      </w:r>
    </w:p>
    <w:p w14:paraId="0BF8DFBD">
      <w:pPr>
        <w:pStyle w:val="7"/>
        <w:ind w:firstLine="19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223A72D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分包金额（如有）小写：____________________</w:t>
      </w:r>
    </w:p>
    <w:p w14:paraId="7F82E3B6">
      <w:pPr>
        <w:pStyle w:val="7"/>
        <w:ind w:firstLine="28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60177D0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（注：固定单价合同应填写单价和最高限价）</w:t>
      </w:r>
    </w:p>
    <w:p w14:paraId="1260BF4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（2）合同定价方式（采用组合定价方式的，可以勾选多项）：</w:t>
      </w:r>
    </w:p>
    <w:p w14:paraId="4E734E2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固定总价固定单价成本补偿绩效激励其他__________</w:t>
      </w:r>
    </w:p>
    <w:p w14:paraId="1ED84F9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（3）付款方式（按项目实际勾选填写）：</w:t>
      </w:r>
    </w:p>
    <w:p w14:paraId="21EB752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全额付款：_______（应明确一次性支付合同款项的条件）_____________</w:t>
      </w:r>
    </w:p>
    <w:p w14:paraId="5EA6E6F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分期付款：_______（应明确分期支付合同款项的各期比例和支付条件，各期支付条件应与分期履约验收情况挂钩）_____________，其中涉及预付款的：_______ （应明确预付款的支付比例和支付条件）</w:t>
      </w:r>
    </w:p>
    <w:p w14:paraId="4C39EE3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成本补偿：_______（应明确按照成本补偿方式的支付方式和支付条件）___________</w:t>
      </w:r>
    </w:p>
    <w:p w14:paraId="14A0FAB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绩效激励：_______（应明确按照绩效激励方式的支付方式和支付条件）_________</w:t>
      </w:r>
    </w:p>
    <w:p w14:paraId="2DD3522C">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3.合同履行</w:t>
      </w:r>
    </w:p>
    <w:p w14:paraId="07BCB7C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（1）起始日期：____________________年____________________月 ____________________日 ，完成日期：____________________年____________________月____________________日。</w:t>
      </w:r>
    </w:p>
    <w:p w14:paraId="1AF4363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（2）履约地点：____________________</w:t>
      </w:r>
    </w:p>
    <w:p w14:paraId="3C65766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（3）履约担保：</w:t>
      </w:r>
    </w:p>
    <w:p w14:paraId="4BA5CF5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是否收取履约保证金：是 否</w:t>
      </w:r>
    </w:p>
    <w:p w14:paraId="6E4598F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收取履约保证金形式：____________________</w:t>
      </w:r>
    </w:p>
    <w:p w14:paraId="20BF252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收取履约保证金金额：____________________</w:t>
      </w:r>
    </w:p>
    <w:p w14:paraId="28ED614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5A5E4BEC">
      <w:pPr>
        <w:pStyle w:val="7"/>
        <w:ind w:firstLine="51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3A4BBAF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（4）分期履行要求：____________________</w:t>
      </w:r>
    </w:p>
    <w:p w14:paraId="1CDED69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（5）风险处置措施和替代方案：____________________</w:t>
      </w:r>
    </w:p>
    <w:p w14:paraId="7CF9F1A7">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4.合同验收</w:t>
      </w:r>
    </w:p>
    <w:p w14:paraId="6FE9093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（1）验收组织方式：自行验收委托第三方验收</w:t>
      </w:r>
    </w:p>
    <w:p w14:paraId="5C45CD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验收主体：____________________</w:t>
      </w:r>
    </w:p>
    <w:p w14:paraId="564D0C4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是否邀请本项目的其他供应商参加验收：是否</w:t>
      </w:r>
    </w:p>
    <w:p w14:paraId="4EEE4F0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是否邀请专家参加验收：是否</w:t>
      </w:r>
    </w:p>
    <w:p w14:paraId="6091607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是否邀请服务对象参加验收：是否</w:t>
      </w:r>
    </w:p>
    <w:p w14:paraId="2067EF2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是否邀请第三方检测机构参加验收：是否</w:t>
      </w:r>
    </w:p>
    <w:p w14:paraId="1E366CB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是否进行抽查检测： 是，抽查比例：__________%否</w:t>
      </w:r>
    </w:p>
    <w:p w14:paraId="4499410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是否存在破坏性检测： 是，__________否</w:t>
      </w:r>
    </w:p>
    <w:p w14:paraId="72D4332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验收组织的其他事项：____________________</w:t>
      </w:r>
    </w:p>
    <w:p w14:paraId="2FEA4EA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（2）履约验收时间：计划于何时验收/供应商提出验收申请之日起_______日内组织验收</w:t>
      </w:r>
    </w:p>
    <w:p w14:paraId="6A2573E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（3）履约验收方式：一次性验收分期/分项验收：__________</w:t>
      </w:r>
    </w:p>
    <w:p w14:paraId="67C0F74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（4）履约验收程序：____________________</w:t>
      </w:r>
    </w:p>
    <w:p w14:paraId="6AE502B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（5）履约验收的内容：_________（应当包括每一项技术和商务要求的履约情况，特别是落实政府采购扶持中小企业，支持绿色发展和乡村振兴等政策情况）___________</w:t>
      </w:r>
    </w:p>
    <w:p w14:paraId="682B6DE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（6）履约验收标准：_____________________________</w:t>
      </w:r>
    </w:p>
    <w:p w14:paraId="1E77455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（7）是否以采购活动中供应商提供的样品作为参考：是否</w:t>
      </w:r>
    </w:p>
    <w:p w14:paraId="0516BD5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（8）履约验收其他事项：_______________</w:t>
      </w:r>
    </w:p>
    <w:p w14:paraId="06AE8C7C">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5.组成合同的文件</w:t>
      </w:r>
    </w:p>
    <w:p w14:paraId="0127691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本协议书与下列文件一起构成合同文件，如下述文件之间有任何抵触、矛盾或歧义，应按以下顺序解释：</w:t>
      </w:r>
    </w:p>
    <w:p w14:paraId="2EC6299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（1）政府采购合同协议书及其变更、补充协议</w:t>
      </w:r>
    </w:p>
    <w:p w14:paraId="3581EE0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（2）政府采购合同专用条款</w:t>
      </w:r>
    </w:p>
    <w:p w14:paraId="2DA303B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（3）政府采购合同通用条款</w:t>
      </w:r>
    </w:p>
    <w:p w14:paraId="755340E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（4）中标（成交）通知书</w:t>
      </w:r>
    </w:p>
    <w:p w14:paraId="2F4231F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（5）投标（响应）文件</w:t>
      </w:r>
    </w:p>
    <w:p w14:paraId="37ED619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（6）采购文件</w:t>
      </w:r>
    </w:p>
    <w:p w14:paraId="7C35AEF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（7）有关技术文件，图纸</w:t>
      </w:r>
    </w:p>
    <w:p w14:paraId="520FB3B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（8）国家法律、行政法规和规章制度规定或合同约定的作为合同组成部分的其他文件</w:t>
      </w:r>
    </w:p>
    <w:p w14:paraId="10AC2B86">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6.合同生效</w:t>
      </w:r>
    </w:p>
    <w:p w14:paraId="0EDB7C9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本合同自____________________生效。</w:t>
      </w:r>
    </w:p>
    <w:p w14:paraId="7B5EE470">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7.合同份数</w:t>
      </w:r>
    </w:p>
    <w:p w14:paraId="37636F3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 _______ 份，甲方执 _______ 份，乙方执 _______ 份，均具有 法律效力。</w:t>
      </w:r>
    </w:p>
    <w:p w14:paraId="385D4909">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8.合同融资支付约定</w:t>
      </w:r>
    </w:p>
    <w:p w14:paraId="32D8774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8.1本合同已用于政府采购合同融资，为本项目提供合同融资的金融机构为：______，本合同项下所有款项，甲方须支付至本合同约定的乙方账号，未经_______书面同意，不得变更账号。</w:t>
      </w:r>
    </w:p>
    <w:p w14:paraId="4ABBE85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3CB474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389055D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合同订立地点： ____________________________</w:t>
      </w:r>
    </w:p>
    <w:p w14:paraId="5F7D1FB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附件：具体标的及其技术要求和商务要求、联合协议、分包意向协议等。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00B1E28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甲方（采购人、受采购人委托签订合同的单位或采购文件约定的合同甲方）</w:t>
      </w:r>
    </w:p>
    <w:p w14:paraId="6DE9280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单位名称（公章或合同章）： {{未填写}}（盖章）</w:t>
      </w:r>
    </w:p>
    <w:p w14:paraId="4AD4E6C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法定代表人或其委托代理人（签章）：{{未填写}}</w:t>
      </w:r>
    </w:p>
    <w:p w14:paraId="6633467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住 所：{{未填写}}</w:t>
      </w:r>
    </w:p>
    <w:p w14:paraId="21FB9AE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 系 人：{{未填写}}</w:t>
      </w:r>
    </w:p>
    <w:p w14:paraId="7360F2E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联系电话：{{未填写}}</w:t>
      </w:r>
    </w:p>
    <w:p w14:paraId="1E56FE3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通信地址：{{未填写}}</w:t>
      </w:r>
    </w:p>
    <w:p w14:paraId="0454BF2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邮政编码：{{未填写}}</w:t>
      </w:r>
    </w:p>
    <w:p w14:paraId="7C538D8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电子邮箱：{{未填写}}</w:t>
      </w:r>
    </w:p>
    <w:p w14:paraId="72692AC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统一社会信用代码：{{未填写}}</w:t>
      </w:r>
    </w:p>
    <w:p w14:paraId="231FDC3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491DA014">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第二节 政府采购合同通用条款</w:t>
      </w:r>
    </w:p>
    <w:p w14:paraId="4C59ACBD">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 定义</w:t>
      </w:r>
    </w:p>
    <w:p w14:paraId="2A63B46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1.1合同当事人</w:t>
      </w:r>
    </w:p>
    <w:p w14:paraId="79A0599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（1）采购人（以下称甲方）是指使用财政性资金，通过政府采购方式向供应商购买货物及其相关服务的国家机关、事业单位、团体组织。</w:t>
      </w:r>
    </w:p>
    <w:p w14:paraId="57B3636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（2）供应商（以下称乙方）是指参加政府采购活动并且中标（成交），向采购人提供合同约定的货物及其相关服务的法人、非法人组织或者自然人。</w:t>
      </w:r>
    </w:p>
    <w:p w14:paraId="7823803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（3）其他合同主体是指除采购人和供应商以外，依法参与合同缔结或履行，享有权利、承担义务的合同当事人。</w:t>
      </w:r>
    </w:p>
    <w:p w14:paraId="3EDF67D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1.2本合同下列术语应解释为：</w:t>
      </w:r>
    </w:p>
    <w:p w14:paraId="5E99D06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ED6979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（2）“合同价款”系指根据本合同规定乙方在全面履行合同义务后甲方应支付给乙方的价款。</w:t>
      </w:r>
    </w:p>
    <w:p w14:paraId="15569BD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（3）“货物”系指乙方根据本合同规定须向甲方提供的各种形态和种类的物品，包括原材料、设备、产品（包括软件）及相关的其备品备件、工具、手册及其他技术资料和材料等。</w:t>
      </w:r>
    </w:p>
    <w:p w14:paraId="334959F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173070A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（5）“分包”系指中标（成交）供应商按采购文件、投标（响应）文件的规定，根据分包意向协议，将中标（成交）项目中的部分履约内容，分给具有相应资质条件的供应商履行合同的行为。</w:t>
      </w:r>
    </w:p>
    <w:p w14:paraId="6659022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1652FD8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（7）其他术语解释，见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75F10643">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2.合同标的及金额</w:t>
      </w:r>
    </w:p>
    <w:p w14:paraId="647CCC6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 合同标的及金额应与中标（成交）结果一致。乙方为履行本合同而发生的所有费用均应包含在合同价款中，甲方不再另行支付其他任何费用。</w:t>
      </w:r>
    </w:p>
    <w:p w14:paraId="54481889">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 履行合同的时间、地点和方式</w:t>
      </w:r>
    </w:p>
    <w:p w14:paraId="55F1E18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 乙方应当在约定的时间、地点，按照约定方式履行合同。</w:t>
      </w:r>
    </w:p>
    <w:p w14:paraId="766D56EB">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 甲方的权利和义务</w:t>
      </w:r>
    </w:p>
    <w:p w14:paraId="0708563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4.1 签署合同后，甲方应确定项目负责人（或项目联系人），负责与本合同有关的事务。甲方有权对乙方的履约行为进行检查，并及时确认乙方提交的事项。甲方应当配合乙方完成相关项目实施工作。</w:t>
      </w:r>
    </w:p>
    <w:p w14:paraId="0249443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4.2 甲方有权要求乙方按时提交各阶段有关安排计划，并有权定期核对乙方提供货物数量、规格、质量等内容。甲方有权督促乙方工作并要求乙方更换不符合要求的货物。</w:t>
      </w:r>
    </w:p>
    <w:p w14:paraId="18A3F2E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4.3 甲方有权要求乙方对缺陷部分予以修复，并按合同约定享有货物保修及其他合同约定的权利。</w:t>
      </w:r>
    </w:p>
    <w:p w14:paraId="4FE144F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4.4 甲方应当按照合同约定及时对交付的货物进行验收，未在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约定的期限内对乙方履约提出任何异议或者向乙方作出任何说明的，视为验收通过。</w:t>
      </w:r>
    </w:p>
    <w:p w14:paraId="1F1CE92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4.5 甲方应当根据合同约定及时向乙方支付合同价款，不得以内部人员变更、履行内部付款流程等为由，拒绝或迟延支付。</w:t>
      </w:r>
    </w:p>
    <w:p w14:paraId="5E79C9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4.6 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约定应由甲方承担的其他义务和责任。</w:t>
      </w:r>
    </w:p>
    <w:p w14:paraId="62EAE9CA">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 乙方的权利和义务</w:t>
      </w:r>
    </w:p>
    <w:p w14:paraId="28F93D4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5.1 签署合同后，乙方应确定项目负责人（或项目联系人），负责与本合同有关的事务。</w:t>
      </w:r>
    </w:p>
    <w:p w14:paraId="1F147CE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F31EDE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5.3乙方有权根据合同约定向甲方收取合同价款。</w:t>
      </w:r>
    </w:p>
    <w:p w14:paraId="6333BE0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5.4国家法律法规规定及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约定应由乙方承担的其他义务和责任。</w:t>
      </w:r>
    </w:p>
    <w:p w14:paraId="4136DB98">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6.合同履行</w:t>
      </w:r>
    </w:p>
    <w:p w14:paraId="3D6796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6.1 甲乙双方应当按照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约定顺序履行合同义务；如果没有先后顺序的，应当同时履行。</w:t>
      </w:r>
    </w:p>
    <w:p w14:paraId="153AA6A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6.2 甲乙双方按照合同约定顺序履行合同义务时，应当先履行一方未履行的，后履行一方有权拒绝其履行请求。先履行一方履行不符合约定的，后履行一方有权拒绝其相应的履行请求。</w:t>
      </w:r>
    </w:p>
    <w:p w14:paraId="1AA68549">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 货物包装、运输、保险和交付要求</w:t>
      </w:r>
    </w:p>
    <w:p w14:paraId="272D320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7.1 本合同涉及商品包装、快递包装的，除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另有约定外，包装应适应远距离运输、防潮、防震、防锈和防野蛮装卸等要求，确保货物安全无损地运抵</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约定的指定现场。</w:t>
      </w:r>
    </w:p>
    <w:p w14:paraId="1C2588F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7.2 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另有约定外，乙方负责办理将货物运抵本合同规定的交货地点，并装卸、交付至甲方的一切运输事项，相关费用应包含在合同价款中。</w:t>
      </w:r>
    </w:p>
    <w:p w14:paraId="1FEB0AB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7.3 货物保险要求按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71DD3D7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4692D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7.5 乙方在运输到达之前应提前通知甲方，并提示货物运输装卸的注意事项，甲方配合乙方做好货物的接收工作。</w:t>
      </w:r>
    </w:p>
    <w:p w14:paraId="00CA99C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7.6 如因包装、运输问题导致货物损毁、丢失或者品质下降，甲方有权要求降价、换货、拒收部分或整批货物，由此产生的费用和损失，均由乙方承担。</w:t>
      </w:r>
    </w:p>
    <w:p w14:paraId="17DE7DCA">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 质量标准和保证</w:t>
      </w:r>
    </w:p>
    <w:p w14:paraId="3136D19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8.1 质量标准</w:t>
      </w:r>
    </w:p>
    <w:p w14:paraId="0FC5760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3C1F9F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（2）采用中华人民共和国法定计量单位。</w:t>
      </w:r>
    </w:p>
    <w:p w14:paraId="1AC2117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（3）乙方所提供的货物应符合国家有关安全、环保、卫生的规定。</w:t>
      </w:r>
    </w:p>
    <w:p w14:paraId="6C557D5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（4）乙方应向甲方提交所提供货物的技术文件，包括相应的中文技术文件，如：产品目录、图纸、操作手册、使用说明、维护手册或服务指南等。上述文件应包装好随货物一同发运。</w:t>
      </w:r>
    </w:p>
    <w:p w14:paraId="6DE1584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8.2 保证</w:t>
      </w:r>
    </w:p>
    <w:p w14:paraId="2B12B8C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02C46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（2）在质量保证期内所发现的缺陷，甲方应尽快以书面形式通知乙方。</w:t>
      </w:r>
    </w:p>
    <w:p w14:paraId="0DBE8C4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（3）乙方收到通知后，应在【政府采购合同专用条款】规定的响应时间内以合理的速度免费维修或更换有缺陷的货物或部件。</w:t>
      </w:r>
    </w:p>
    <w:p w14:paraId="786FB8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（4）在质量保证期内，如果货物的质量或规格与合同不符，或证实货物是有缺陷的，包括潜在的缺陷或使用不符合要求的材料等，甲方可以根据本合同第15.1条规定以书面形式追究乙方的违约责任。</w:t>
      </w:r>
    </w:p>
    <w:p w14:paraId="59F92BF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（5）乙方在约定的时间内未能弥补缺陷，甲方可采取必要的补救措施，但其风险和费用将由乙方承担，甲方根据合同约定对乙方行使的其他权利不受影响。</w:t>
      </w:r>
    </w:p>
    <w:p w14:paraId="101B93FC">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 权利瑕疵担保</w:t>
      </w:r>
    </w:p>
    <w:p w14:paraId="02F7EA9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9.1 乙方保证对其出售的货物享有合法的权利。</w:t>
      </w:r>
    </w:p>
    <w:p w14:paraId="55858C2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9.2 乙方保证在交付的货物上不存在抵押权等担保物权。</w:t>
      </w:r>
    </w:p>
    <w:p w14:paraId="1923245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9.3 如甲方使用上述货物构成对第三人侵权的，则由乙方承担全部责任。</w:t>
      </w:r>
    </w:p>
    <w:p w14:paraId="16D17BFF">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 知识产权保护</w:t>
      </w:r>
    </w:p>
    <w:p w14:paraId="1C9D3E5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6F3C8F70">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 保密义务</w:t>
      </w:r>
    </w:p>
    <w:p w14:paraId="5AC5F4F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6334D05B">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 合同价款支付</w:t>
      </w:r>
    </w:p>
    <w:p w14:paraId="1D86A21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12.1 合同价款支付按照国库集中支付制度及财政管理相关规定执行。</w:t>
      </w:r>
    </w:p>
    <w:p w14:paraId="032DBEC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692CF737">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13. 履约保证金</w:t>
      </w:r>
    </w:p>
    <w:p w14:paraId="7A5A56A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13.1 乙方应当以支票、汇票、本票或者金融机构、担保机构出具的保函等非现金形式提交。</w:t>
      </w:r>
    </w:p>
    <w:p w14:paraId="7F61DF6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13.2 如果乙方出现</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约定情形的，履约保证金不予退还；如果乙方未能按合同约定全面履行义务，甲方有权从履约保证金中取得补偿或赔偿，且不影响甲方要求乙方承担合同约定的超过履约保证金的违约责任的权利。</w:t>
      </w:r>
    </w:p>
    <w:p w14:paraId="378C241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13.3 甲方在项目通过验收后按照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规定的时间内将履约保证金退还乙方；逾期退还的，乙方可要求甲方支付违约金，违约金按照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规定支付。</w:t>
      </w:r>
    </w:p>
    <w:p w14:paraId="48C6106E">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14. 售后服务</w:t>
      </w:r>
    </w:p>
    <w:p w14:paraId="005CD9B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14.1 除项目不涉及或采购活动中明确约定无须承担外，乙方还应提供下列服务：</w:t>
      </w:r>
    </w:p>
    <w:p w14:paraId="0F2D382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（1）货物的现场移动、安装、调试、启动监督及技术支持；</w:t>
      </w:r>
    </w:p>
    <w:p w14:paraId="20FC420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（2）提供货物组装和维修所需的专用工具和辅助材料；</w:t>
      </w:r>
    </w:p>
    <w:p w14:paraId="236D866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约定的期限内对所有的货物实施运行监督、维修，但前提条件是该服务并不能免除乙方在质量保证期内所承担的义务；</w:t>
      </w:r>
    </w:p>
    <w:p w14:paraId="7D5518B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（4）在制造商所在地或指定现场就货物的安装、启动、运营、维护、废弃处置等对甲方操作人员进行培训；</w:t>
      </w:r>
    </w:p>
    <w:p w14:paraId="66A0660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（5）依照法律、行政法规的规定或者按照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约定，货物在有效使用年限届满后应予回收的，乙方负有自行或者委托第三人对货物予以回收的义务；</w:t>
      </w:r>
    </w:p>
    <w:p w14:paraId="57D6333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规定由乙方提供的其他服务。</w:t>
      </w:r>
    </w:p>
    <w:p w14:paraId="79C877B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14.2 乙方提供的售后服务的费用已包含在合同价款中，甲方不再另行支付。</w:t>
      </w:r>
    </w:p>
    <w:p w14:paraId="4DED6714">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15. 违约责任</w:t>
      </w:r>
    </w:p>
    <w:p w14:paraId="0E3A194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15.1质量瑕疵的违约责任</w:t>
      </w:r>
    </w:p>
    <w:p w14:paraId="44C6635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乙方提供的产品不符合合同约定的质量标准或存在产品质量缺陷，甲方有权要求乙方根据</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要求及时修理、重作、更换，并承担由此给甲方造成的损失。</w:t>
      </w:r>
    </w:p>
    <w:p w14:paraId="7176CB9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15.2 迟延交货的违约责任</w:t>
      </w:r>
    </w:p>
    <w:p w14:paraId="6B9EBA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0C9502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规定执行。如果涉及公共利益，且赔偿金额无法弥补公共利益损失，甲方可要求继续履行或者采取其他补救措施。</w:t>
      </w:r>
    </w:p>
    <w:p w14:paraId="2C17A51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15.3 迟延支付的违约责任</w:t>
      </w:r>
    </w:p>
    <w:p w14:paraId="457EA21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甲方存在迟延支付乙方合同款项的，应当承担</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规定的逾期付款利息。</w:t>
      </w:r>
    </w:p>
    <w:p w14:paraId="1922AE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15.4其他违约责任根据项目实际需要按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7BCCAAF3">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16.合同变更、中止与终止</w:t>
      </w:r>
    </w:p>
    <w:p w14:paraId="7699780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16.1合同的变更</w:t>
      </w:r>
    </w:p>
    <w:p w14:paraId="6332D98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政府采购合同履行中，在不改变合同其他条款的前提下，甲方可以在合同价款10%的范围内追加与合同标的相同的货物，并就此与乙方协商一致后签订补充协议。</w:t>
      </w:r>
    </w:p>
    <w:p w14:paraId="3FD3D3B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16.2合同的中止</w:t>
      </w:r>
    </w:p>
    <w:p w14:paraId="58D5A4F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（1）合同履行过程中因供应商就采购文件、采购过程或结果提起投诉的，甲方认为有必要的，可以中止合同的履行。</w:t>
      </w:r>
    </w:p>
    <w:p w14:paraId="41574F3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4340C3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（3）乙方分立、合并或者变更住所的，应当及时以书面形式告知甲方。乙方没有及时告知甲方，致使合同履行发生困难的，甲方可以中止合同履行并要求乙方承担由此给甲方造成的损失。</w:t>
      </w:r>
    </w:p>
    <w:p w14:paraId="139F729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（4）甲方不得以行政区划调整、政府换届、机构或者职能调整以及相关责任人更替为由中止合同。</w:t>
      </w:r>
    </w:p>
    <w:p w14:paraId="22558E1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16.3合同的终止</w:t>
      </w:r>
    </w:p>
    <w:p w14:paraId="656BEF9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（1）合同因有效期限届满而终止；</w:t>
      </w:r>
    </w:p>
    <w:p w14:paraId="540DB2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（2）乙方未按合同约定履行，构成根本性违约的，甲方有权终止合同，并追究乙方的违约责任。</w:t>
      </w:r>
    </w:p>
    <w:p w14:paraId="2D9ED0B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16.4 涉及国家利益、社会公共利益的情形</w:t>
      </w:r>
    </w:p>
    <w:p w14:paraId="4520595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政府采购合同继续履行将损害国家利益和社会公共利益的，双方当事人应当变更、中止或者终止合同。有过错的一方应当承担赔偿责任，双方都有过错的，各自承担相应的责任。</w:t>
      </w:r>
    </w:p>
    <w:p w14:paraId="69476027">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17. 合同分包</w:t>
      </w:r>
    </w:p>
    <w:p w14:paraId="5F5A294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 乙方不得将合同转包给其他供应商。涉及合同分包的，乙方应根据采购文件和投标（响应）文件规定进行合同分包。</w:t>
      </w:r>
    </w:p>
    <w:p w14:paraId="3286247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17.2 乙方执行政府采购政策向中小企业依法分包的，乙方应当按采购文件和投标（响应）文件签订分包意向协议，分包意向协议属于本合同组成部分。</w:t>
      </w:r>
    </w:p>
    <w:p w14:paraId="6AA0C525">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18. 不可抗力</w:t>
      </w:r>
    </w:p>
    <w:p w14:paraId="69264BE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18.1 不可抗力是指合同双方不能预见、不能避免且不能克服的客观情况。</w:t>
      </w:r>
    </w:p>
    <w:p w14:paraId="73B0083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18.2 任何一方对由于不可抗力造成的部分或全部不能履行合同不承担违约责任。但迟延履行后发生不可抗力的，不能免除责任。</w:t>
      </w:r>
    </w:p>
    <w:p w14:paraId="2216B3D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B5692A2">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19. 解决争议的方法</w:t>
      </w:r>
    </w:p>
    <w:p w14:paraId="162F03A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19.1 因本合同及合同有关事项发生的争议，由甲乙双方友好协商解决。协商不成时，可以向有关组织申请调解。合同一方或双方不愿调解或调解不成的，可以通过仲裁或诉讼的方式解决争议。</w:t>
      </w:r>
    </w:p>
    <w:p w14:paraId="2D04685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19.2 选择仲裁的，应在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中明确仲裁机构及仲裁地；通过诉讼方式解决的，可以在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中进一步约定选择与争议有实际联系的地点的人民法院管辖，但管辖法院的约定不得违反级别管辖和专属管辖的规定。</w:t>
      </w:r>
    </w:p>
    <w:p w14:paraId="1979538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如甲乙双方有争议的事项不影响合同其他部分的履行，在争议解决期间，合同其他部分应当继续履行。</w:t>
      </w:r>
    </w:p>
    <w:p w14:paraId="35A74890">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20. 政府采购政策</w:t>
      </w:r>
    </w:p>
    <w:p w14:paraId="0202F42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20.1 本合同应当按照规定执行政府采购政策。</w:t>
      </w:r>
    </w:p>
    <w:p w14:paraId="3B13D7C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5D66FCD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6895545">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21. 法律适用</w:t>
      </w:r>
    </w:p>
    <w:p w14:paraId="6BAAA2D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21.1 本合同的订立、生效、解释、履行及与本合同有关的争议解决，均适用法律、行政法规。</w:t>
      </w:r>
    </w:p>
    <w:p w14:paraId="1D8637F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21.2 本合同条款与法律、行政法规的强制性规定不一致的，双方当事人应按照法律、行政法规的强制性规定修改本合同的相关条款。</w:t>
      </w:r>
    </w:p>
    <w:p w14:paraId="757CD8AD">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22. 通知</w:t>
      </w:r>
    </w:p>
    <w:p w14:paraId="3144B01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22.1 本合同任何一方向对方发出的通知、信件、数据电文等，应当发送至本合同第一部分《政府采购合同协议书》所约定的通讯地址、联系人、联系电话或电子邮箱。</w:t>
      </w:r>
    </w:p>
    <w:p w14:paraId="7D6E6BE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22.2 一方当事人变更名称、住所、联系人、联系电话或电子邮箱等信息的，应当在变更后3日内及时书面通知对方，对方实际收到变更通知前的送达仍为有效送达。</w:t>
      </w:r>
    </w:p>
    <w:p w14:paraId="1EBF0E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22.3本合同一方给另一方的通知均应采用书面形式，传真或快递送到本合同中规定的对方的地址和办理签收手续。</w:t>
      </w:r>
    </w:p>
    <w:p w14:paraId="79D12BE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22.4通知以送达之日或通知书中规定的生效之日起生效，两者中以较迟之日为准。</w:t>
      </w:r>
    </w:p>
    <w:p w14:paraId="23611388">
      <w:pPr>
        <w:pStyle w:val="7"/>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23.合同未尽事项</w:t>
      </w:r>
    </w:p>
    <w:p w14:paraId="6E702AE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23.1合同未尽事项见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693F2E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23.2 合同附件与合同正文具有同等的法律效力。</w:t>
      </w:r>
    </w:p>
    <w:p w14:paraId="2214BE1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第三节 政府采购合同专用条款</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19"/>
        <w:gridCol w:w="3319"/>
        <w:gridCol w:w="3320"/>
      </w:tblGrid>
      <w:tr w14:paraId="7A78C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963B14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第1.2（6）项</w:t>
            </w:r>
          </w:p>
        </w:tc>
        <w:tc>
          <w:tcPr>
            <w:tcW w:w="1666" w:type="pct"/>
          </w:tcPr>
          <w:p w14:paraId="52BB537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联合体具体要求</w:t>
            </w:r>
          </w:p>
        </w:tc>
        <w:tc>
          <w:tcPr>
            <w:tcW w:w="1666" w:type="pct"/>
          </w:tcPr>
          <w:p w14:paraId="1C65AF22">
            <w:pPr>
              <w:pStyle w:val="7"/>
              <w:jc w:val="left"/>
              <w:rPr>
                <w:rFonts w:hint="eastAsia" w:asciiTheme="minorEastAsia" w:hAnsiTheme="minorEastAsia" w:eastAsiaTheme="minorEastAsia" w:cstheme="minorEastAsia"/>
              </w:rPr>
            </w:pPr>
          </w:p>
        </w:tc>
      </w:tr>
      <w:tr w14:paraId="452B9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54B1B4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第1.2（7）项</w:t>
            </w:r>
          </w:p>
        </w:tc>
        <w:tc>
          <w:tcPr>
            <w:tcW w:w="1666" w:type="pct"/>
          </w:tcPr>
          <w:p w14:paraId="3907D2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其他术语解释</w:t>
            </w:r>
          </w:p>
        </w:tc>
        <w:tc>
          <w:tcPr>
            <w:tcW w:w="1666" w:type="pct"/>
          </w:tcPr>
          <w:p w14:paraId="0E8458A7">
            <w:pPr>
              <w:pStyle w:val="7"/>
              <w:jc w:val="left"/>
              <w:rPr>
                <w:rFonts w:hint="eastAsia" w:asciiTheme="minorEastAsia" w:hAnsiTheme="minorEastAsia" w:eastAsiaTheme="minorEastAsia" w:cstheme="minorEastAsia"/>
              </w:rPr>
            </w:pPr>
          </w:p>
        </w:tc>
      </w:tr>
      <w:tr w14:paraId="4F1B5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2138EA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第4.4款</w:t>
            </w:r>
          </w:p>
        </w:tc>
        <w:tc>
          <w:tcPr>
            <w:tcW w:w="1666" w:type="pct"/>
          </w:tcPr>
          <w:p w14:paraId="0BB216F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履约验收中甲方提出异议或作出说明的期限</w:t>
            </w:r>
          </w:p>
        </w:tc>
        <w:tc>
          <w:tcPr>
            <w:tcW w:w="1666" w:type="pct"/>
          </w:tcPr>
          <w:p w14:paraId="78A0E995">
            <w:pPr>
              <w:pStyle w:val="7"/>
              <w:jc w:val="left"/>
              <w:rPr>
                <w:rFonts w:hint="eastAsia" w:asciiTheme="minorEastAsia" w:hAnsiTheme="minorEastAsia" w:eastAsiaTheme="minorEastAsia" w:cstheme="minorEastAsia"/>
              </w:rPr>
            </w:pPr>
          </w:p>
        </w:tc>
      </w:tr>
      <w:tr w14:paraId="1C9346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CF7AC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第4.6款</w:t>
            </w:r>
          </w:p>
        </w:tc>
        <w:tc>
          <w:tcPr>
            <w:tcW w:w="1666" w:type="pct"/>
          </w:tcPr>
          <w:p w14:paraId="033300C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约定甲方承担的其他义务和责任</w:t>
            </w:r>
          </w:p>
        </w:tc>
        <w:tc>
          <w:tcPr>
            <w:tcW w:w="1666" w:type="pct"/>
          </w:tcPr>
          <w:p w14:paraId="54BD1345">
            <w:pPr>
              <w:pStyle w:val="7"/>
              <w:jc w:val="left"/>
              <w:rPr>
                <w:rFonts w:hint="eastAsia" w:asciiTheme="minorEastAsia" w:hAnsiTheme="minorEastAsia" w:eastAsiaTheme="minorEastAsia" w:cstheme="minorEastAsia"/>
              </w:rPr>
            </w:pPr>
          </w:p>
        </w:tc>
      </w:tr>
      <w:tr w14:paraId="4AA92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6737DA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第5.4款</w:t>
            </w:r>
          </w:p>
        </w:tc>
        <w:tc>
          <w:tcPr>
            <w:tcW w:w="1666" w:type="pct"/>
          </w:tcPr>
          <w:p w14:paraId="55270BC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约定乙方承担的其他义务和责任</w:t>
            </w:r>
          </w:p>
        </w:tc>
        <w:tc>
          <w:tcPr>
            <w:tcW w:w="1666" w:type="pct"/>
          </w:tcPr>
          <w:p w14:paraId="45C1B92D">
            <w:pPr>
              <w:pStyle w:val="7"/>
              <w:jc w:val="left"/>
              <w:rPr>
                <w:rFonts w:hint="eastAsia" w:asciiTheme="minorEastAsia" w:hAnsiTheme="minorEastAsia" w:eastAsiaTheme="minorEastAsia" w:cstheme="minorEastAsia"/>
              </w:rPr>
            </w:pPr>
          </w:p>
        </w:tc>
      </w:tr>
      <w:tr w14:paraId="4B01E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1DF8D4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第6.1款</w:t>
            </w:r>
          </w:p>
        </w:tc>
        <w:tc>
          <w:tcPr>
            <w:tcW w:w="1666" w:type="pct"/>
          </w:tcPr>
          <w:p w14:paraId="2ED87B1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履行合同义务的顺序</w:t>
            </w:r>
          </w:p>
        </w:tc>
        <w:tc>
          <w:tcPr>
            <w:tcW w:w="1666" w:type="pct"/>
          </w:tcPr>
          <w:p w14:paraId="0A3E0A18">
            <w:pPr>
              <w:pStyle w:val="7"/>
              <w:jc w:val="left"/>
              <w:rPr>
                <w:rFonts w:hint="eastAsia" w:asciiTheme="minorEastAsia" w:hAnsiTheme="minorEastAsia" w:eastAsiaTheme="minorEastAsia" w:cstheme="minorEastAsia"/>
              </w:rPr>
            </w:pPr>
          </w:p>
        </w:tc>
      </w:tr>
      <w:tr w14:paraId="2D334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restart"/>
          </w:tcPr>
          <w:p w14:paraId="291AF72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第7.1款</w:t>
            </w:r>
          </w:p>
        </w:tc>
        <w:tc>
          <w:tcPr>
            <w:tcW w:w="1666" w:type="pct"/>
          </w:tcPr>
          <w:p w14:paraId="301D59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包装特殊要求</w:t>
            </w:r>
          </w:p>
        </w:tc>
        <w:tc>
          <w:tcPr>
            <w:tcW w:w="1666" w:type="pct"/>
          </w:tcPr>
          <w:p w14:paraId="4A1FADDC">
            <w:pPr>
              <w:pStyle w:val="7"/>
              <w:jc w:val="left"/>
              <w:rPr>
                <w:rFonts w:hint="eastAsia" w:asciiTheme="minorEastAsia" w:hAnsiTheme="minorEastAsia" w:eastAsiaTheme="minorEastAsia" w:cstheme="minorEastAsia"/>
              </w:rPr>
            </w:pPr>
          </w:p>
        </w:tc>
      </w:tr>
      <w:tr w14:paraId="46E43E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continue"/>
          </w:tcPr>
          <w:p w14:paraId="3A381FD8">
            <w:pPr>
              <w:rPr>
                <w:rFonts w:hint="eastAsia" w:asciiTheme="minorEastAsia" w:hAnsiTheme="minorEastAsia" w:eastAsiaTheme="minorEastAsia" w:cstheme="minorEastAsia"/>
              </w:rPr>
            </w:pPr>
          </w:p>
        </w:tc>
        <w:tc>
          <w:tcPr>
            <w:tcW w:w="1666" w:type="pct"/>
          </w:tcPr>
          <w:p w14:paraId="2A41C29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指定现场</w:t>
            </w:r>
          </w:p>
        </w:tc>
        <w:tc>
          <w:tcPr>
            <w:tcW w:w="1666" w:type="pct"/>
          </w:tcPr>
          <w:p w14:paraId="29FB202E">
            <w:pPr>
              <w:pStyle w:val="7"/>
              <w:jc w:val="left"/>
              <w:rPr>
                <w:rFonts w:hint="eastAsia" w:asciiTheme="minorEastAsia" w:hAnsiTheme="minorEastAsia" w:eastAsiaTheme="minorEastAsia" w:cstheme="minorEastAsia"/>
              </w:rPr>
            </w:pPr>
          </w:p>
        </w:tc>
      </w:tr>
      <w:tr w14:paraId="471DAD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383BCA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第7.2款</w:t>
            </w:r>
          </w:p>
        </w:tc>
        <w:tc>
          <w:tcPr>
            <w:tcW w:w="1666" w:type="pct"/>
          </w:tcPr>
          <w:p w14:paraId="7A50208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运输特殊要求</w:t>
            </w:r>
          </w:p>
        </w:tc>
        <w:tc>
          <w:tcPr>
            <w:tcW w:w="1666" w:type="pct"/>
          </w:tcPr>
          <w:p w14:paraId="41B32EDA">
            <w:pPr>
              <w:pStyle w:val="7"/>
              <w:jc w:val="left"/>
              <w:rPr>
                <w:rFonts w:hint="eastAsia" w:asciiTheme="minorEastAsia" w:hAnsiTheme="minorEastAsia" w:eastAsiaTheme="minorEastAsia" w:cstheme="minorEastAsia"/>
              </w:rPr>
            </w:pPr>
          </w:p>
        </w:tc>
      </w:tr>
      <w:tr w14:paraId="5D2DC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CC438E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第7.3款</w:t>
            </w:r>
          </w:p>
        </w:tc>
        <w:tc>
          <w:tcPr>
            <w:tcW w:w="1666" w:type="pct"/>
          </w:tcPr>
          <w:p w14:paraId="1E9092C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保险要求</w:t>
            </w:r>
          </w:p>
        </w:tc>
        <w:tc>
          <w:tcPr>
            <w:tcW w:w="1666" w:type="pct"/>
          </w:tcPr>
          <w:p w14:paraId="6937467F">
            <w:pPr>
              <w:pStyle w:val="7"/>
              <w:jc w:val="left"/>
              <w:rPr>
                <w:rFonts w:hint="eastAsia" w:asciiTheme="minorEastAsia" w:hAnsiTheme="minorEastAsia" w:eastAsiaTheme="minorEastAsia" w:cstheme="minorEastAsia"/>
              </w:rPr>
            </w:pPr>
          </w:p>
        </w:tc>
      </w:tr>
      <w:tr w14:paraId="5660A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2475B6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第8.2（1）项</w:t>
            </w:r>
          </w:p>
        </w:tc>
        <w:tc>
          <w:tcPr>
            <w:tcW w:w="1666" w:type="pct"/>
          </w:tcPr>
          <w:p w14:paraId="2669DDD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质量保证期</w:t>
            </w:r>
          </w:p>
        </w:tc>
        <w:tc>
          <w:tcPr>
            <w:tcW w:w="1666" w:type="pct"/>
          </w:tcPr>
          <w:p w14:paraId="4464C494">
            <w:pPr>
              <w:rPr>
                <w:rFonts w:hint="eastAsia" w:asciiTheme="minorEastAsia" w:hAnsiTheme="minorEastAsia" w:eastAsiaTheme="minorEastAsia" w:cstheme="minorEastAsia"/>
              </w:rPr>
            </w:pPr>
          </w:p>
        </w:tc>
      </w:tr>
      <w:tr w14:paraId="76180E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122647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第8.2（3）项</w:t>
            </w:r>
          </w:p>
        </w:tc>
        <w:tc>
          <w:tcPr>
            <w:tcW w:w="1666" w:type="pct"/>
          </w:tcPr>
          <w:p w14:paraId="064808C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货物质量缺陷响应时间</w:t>
            </w:r>
          </w:p>
        </w:tc>
        <w:tc>
          <w:tcPr>
            <w:tcW w:w="1666" w:type="pct"/>
          </w:tcPr>
          <w:p w14:paraId="2DD19C36">
            <w:pPr>
              <w:rPr>
                <w:rFonts w:hint="eastAsia" w:asciiTheme="minorEastAsia" w:hAnsiTheme="minorEastAsia" w:eastAsiaTheme="minorEastAsia" w:cstheme="minorEastAsia"/>
              </w:rPr>
            </w:pPr>
          </w:p>
        </w:tc>
      </w:tr>
      <w:tr w14:paraId="055114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29EADA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第11.1款</w:t>
            </w:r>
          </w:p>
        </w:tc>
        <w:tc>
          <w:tcPr>
            <w:tcW w:w="1666" w:type="pct"/>
          </w:tcPr>
          <w:p w14:paraId="4ACB2BB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其他应当保密的信息</w:t>
            </w:r>
          </w:p>
        </w:tc>
        <w:tc>
          <w:tcPr>
            <w:tcW w:w="1666" w:type="pct"/>
          </w:tcPr>
          <w:p w14:paraId="55F71DE0">
            <w:pPr>
              <w:rPr>
                <w:rFonts w:hint="eastAsia" w:asciiTheme="minorEastAsia" w:hAnsiTheme="minorEastAsia" w:eastAsiaTheme="minorEastAsia" w:cstheme="minorEastAsia"/>
              </w:rPr>
            </w:pPr>
          </w:p>
        </w:tc>
      </w:tr>
      <w:tr w14:paraId="63B5D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086B2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第12.2款</w:t>
            </w:r>
          </w:p>
        </w:tc>
        <w:tc>
          <w:tcPr>
            <w:tcW w:w="1666" w:type="pct"/>
          </w:tcPr>
          <w:p w14:paraId="4D1A68E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合同价款支付时间</w:t>
            </w:r>
          </w:p>
        </w:tc>
        <w:tc>
          <w:tcPr>
            <w:tcW w:w="1666" w:type="pct"/>
          </w:tcPr>
          <w:p w14:paraId="367B6BDF">
            <w:pPr>
              <w:rPr>
                <w:rFonts w:hint="eastAsia" w:asciiTheme="minorEastAsia" w:hAnsiTheme="minorEastAsia" w:eastAsiaTheme="minorEastAsia" w:cstheme="minorEastAsia"/>
              </w:rPr>
            </w:pPr>
          </w:p>
        </w:tc>
      </w:tr>
      <w:tr w14:paraId="7C54F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41DB226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第13.2款</w:t>
            </w:r>
          </w:p>
        </w:tc>
        <w:tc>
          <w:tcPr>
            <w:tcW w:w="1666" w:type="pct"/>
          </w:tcPr>
          <w:p w14:paraId="326ABC9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履约保证金不予退还的情形</w:t>
            </w:r>
          </w:p>
        </w:tc>
        <w:tc>
          <w:tcPr>
            <w:tcW w:w="1666" w:type="pct"/>
          </w:tcPr>
          <w:p w14:paraId="59883904">
            <w:pPr>
              <w:rPr>
                <w:rFonts w:hint="eastAsia" w:asciiTheme="minorEastAsia" w:hAnsiTheme="minorEastAsia" w:eastAsiaTheme="minorEastAsia" w:cstheme="minorEastAsia"/>
              </w:rPr>
            </w:pPr>
          </w:p>
        </w:tc>
      </w:tr>
      <w:tr w14:paraId="76606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975AAE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第13.3款</w:t>
            </w:r>
          </w:p>
        </w:tc>
        <w:tc>
          <w:tcPr>
            <w:tcW w:w="1666" w:type="pct"/>
          </w:tcPr>
          <w:p w14:paraId="69C3297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履约保证金退还时间及逾期退还的违约金</w:t>
            </w:r>
          </w:p>
        </w:tc>
        <w:tc>
          <w:tcPr>
            <w:tcW w:w="1666" w:type="pct"/>
          </w:tcPr>
          <w:p w14:paraId="71D4AB46">
            <w:pPr>
              <w:rPr>
                <w:rFonts w:hint="eastAsia" w:asciiTheme="minorEastAsia" w:hAnsiTheme="minorEastAsia" w:eastAsiaTheme="minorEastAsia" w:cstheme="minorEastAsia"/>
              </w:rPr>
            </w:pPr>
          </w:p>
        </w:tc>
      </w:tr>
      <w:tr w14:paraId="01043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E58B78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第14.1（3）项</w:t>
            </w:r>
          </w:p>
        </w:tc>
        <w:tc>
          <w:tcPr>
            <w:tcW w:w="1666" w:type="pct"/>
          </w:tcPr>
          <w:p w14:paraId="7765BF8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运行监督、维修期限</w:t>
            </w:r>
          </w:p>
        </w:tc>
        <w:tc>
          <w:tcPr>
            <w:tcW w:w="1666" w:type="pct"/>
          </w:tcPr>
          <w:p w14:paraId="0A3440A3">
            <w:pPr>
              <w:rPr>
                <w:rFonts w:hint="eastAsia" w:asciiTheme="minorEastAsia" w:hAnsiTheme="minorEastAsia" w:eastAsiaTheme="minorEastAsia" w:cstheme="minorEastAsia"/>
              </w:rPr>
            </w:pPr>
          </w:p>
        </w:tc>
      </w:tr>
      <w:tr w14:paraId="1CECAD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2A6CCE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第14.1（5）项</w:t>
            </w:r>
          </w:p>
        </w:tc>
        <w:tc>
          <w:tcPr>
            <w:tcW w:w="1666" w:type="pct"/>
          </w:tcPr>
          <w:p w14:paraId="754D935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货物回收的约定</w:t>
            </w:r>
          </w:p>
        </w:tc>
        <w:tc>
          <w:tcPr>
            <w:tcW w:w="1666" w:type="pct"/>
          </w:tcPr>
          <w:p w14:paraId="0C15E592">
            <w:pPr>
              <w:rPr>
                <w:rFonts w:hint="eastAsia" w:asciiTheme="minorEastAsia" w:hAnsiTheme="minorEastAsia" w:eastAsiaTheme="minorEastAsia" w:cstheme="minorEastAsia"/>
              </w:rPr>
            </w:pPr>
          </w:p>
        </w:tc>
      </w:tr>
      <w:tr w14:paraId="6BB70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EDF253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第14.1（6）项</w:t>
            </w:r>
          </w:p>
        </w:tc>
        <w:tc>
          <w:tcPr>
            <w:tcW w:w="1666" w:type="pct"/>
          </w:tcPr>
          <w:p w14:paraId="5E4C02E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乙方提供的其他服务</w:t>
            </w:r>
          </w:p>
        </w:tc>
        <w:tc>
          <w:tcPr>
            <w:tcW w:w="1666" w:type="pct"/>
          </w:tcPr>
          <w:p w14:paraId="06AC8A24">
            <w:pPr>
              <w:rPr>
                <w:rFonts w:hint="eastAsia" w:asciiTheme="minorEastAsia" w:hAnsiTheme="minorEastAsia" w:eastAsiaTheme="minorEastAsia" w:cstheme="minorEastAsia"/>
              </w:rPr>
            </w:pPr>
          </w:p>
        </w:tc>
      </w:tr>
      <w:tr w14:paraId="3E04A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AEEB51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第15.1款</w:t>
            </w:r>
          </w:p>
        </w:tc>
        <w:tc>
          <w:tcPr>
            <w:tcW w:w="1666" w:type="pct"/>
          </w:tcPr>
          <w:p w14:paraId="566130A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修理、重作、更换相关具体规定</w:t>
            </w:r>
          </w:p>
        </w:tc>
        <w:tc>
          <w:tcPr>
            <w:tcW w:w="1666" w:type="pct"/>
          </w:tcPr>
          <w:p w14:paraId="28C67DB5">
            <w:pPr>
              <w:rPr>
                <w:rFonts w:hint="eastAsia" w:asciiTheme="minorEastAsia" w:hAnsiTheme="minorEastAsia" w:eastAsiaTheme="minorEastAsia" w:cstheme="minorEastAsia"/>
              </w:rPr>
            </w:pPr>
          </w:p>
        </w:tc>
      </w:tr>
      <w:tr w14:paraId="578E1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3075F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第15.2（2）项</w:t>
            </w:r>
          </w:p>
        </w:tc>
        <w:tc>
          <w:tcPr>
            <w:tcW w:w="1666" w:type="pct"/>
          </w:tcPr>
          <w:p w14:paraId="7BC44FA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迟延交货赔偿费</w:t>
            </w:r>
          </w:p>
        </w:tc>
        <w:tc>
          <w:tcPr>
            <w:tcW w:w="1666" w:type="pct"/>
          </w:tcPr>
          <w:p w14:paraId="0ED2DBFB">
            <w:pPr>
              <w:rPr>
                <w:rFonts w:hint="eastAsia" w:asciiTheme="minorEastAsia" w:hAnsiTheme="minorEastAsia" w:eastAsiaTheme="minorEastAsia" w:cstheme="minorEastAsia"/>
              </w:rPr>
            </w:pPr>
          </w:p>
        </w:tc>
      </w:tr>
      <w:tr w14:paraId="18B9F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5ADB9B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第15.3款</w:t>
            </w:r>
          </w:p>
        </w:tc>
        <w:tc>
          <w:tcPr>
            <w:tcW w:w="1666" w:type="pct"/>
          </w:tcPr>
          <w:p w14:paraId="055953C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逾期付款利息</w:t>
            </w:r>
          </w:p>
        </w:tc>
        <w:tc>
          <w:tcPr>
            <w:tcW w:w="1666" w:type="pct"/>
          </w:tcPr>
          <w:p w14:paraId="426929C2">
            <w:pPr>
              <w:rPr>
                <w:rFonts w:hint="eastAsia" w:asciiTheme="minorEastAsia" w:hAnsiTheme="minorEastAsia" w:eastAsiaTheme="minorEastAsia" w:cstheme="minorEastAsia"/>
              </w:rPr>
            </w:pPr>
          </w:p>
        </w:tc>
      </w:tr>
      <w:tr w14:paraId="28647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A6BC09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第15.4款</w:t>
            </w:r>
          </w:p>
        </w:tc>
        <w:tc>
          <w:tcPr>
            <w:tcW w:w="1666" w:type="pct"/>
          </w:tcPr>
          <w:p w14:paraId="210CCA4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其他违约责任</w:t>
            </w:r>
          </w:p>
        </w:tc>
        <w:tc>
          <w:tcPr>
            <w:tcW w:w="1666" w:type="pct"/>
          </w:tcPr>
          <w:p w14:paraId="0CB6FC84">
            <w:pPr>
              <w:rPr>
                <w:rFonts w:hint="eastAsia" w:asciiTheme="minorEastAsia" w:hAnsiTheme="minorEastAsia" w:eastAsiaTheme="minorEastAsia" w:cstheme="minorEastAsia"/>
              </w:rPr>
            </w:pPr>
          </w:p>
        </w:tc>
      </w:tr>
      <w:tr w14:paraId="2D68F0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4FA4C2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第19.2款</w:t>
            </w:r>
          </w:p>
        </w:tc>
        <w:tc>
          <w:tcPr>
            <w:tcW w:w="1666" w:type="pct"/>
          </w:tcPr>
          <w:p w14:paraId="1D4A995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解决争议的方法</w:t>
            </w:r>
          </w:p>
        </w:tc>
        <w:tc>
          <w:tcPr>
            <w:tcW w:w="1666" w:type="pct"/>
          </w:tcPr>
          <w:p w14:paraId="7FF46A2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因本合同及合同有关事项发生的争议，按下列第____ 种方式解决：</w:t>
            </w:r>
          </w:p>
          <w:p w14:paraId="313268F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（1）向 __________________仲裁委员会申请仲裁，仲裁地点为 ____________ ；</w:t>
            </w:r>
          </w:p>
          <w:p w14:paraId="06EF218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（2）向__________________人民法院起诉。</w:t>
            </w:r>
          </w:p>
        </w:tc>
      </w:tr>
      <w:tr w14:paraId="1E7D0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F7B587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第23.1款</w:t>
            </w:r>
          </w:p>
        </w:tc>
        <w:tc>
          <w:tcPr>
            <w:tcW w:w="1666" w:type="pct"/>
          </w:tcPr>
          <w:p w14:paraId="74745D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其他专用条款</w:t>
            </w:r>
          </w:p>
        </w:tc>
        <w:tc>
          <w:tcPr>
            <w:tcW w:w="1666" w:type="pct"/>
          </w:tcPr>
          <w:p w14:paraId="24425532">
            <w:pPr>
              <w:rPr>
                <w:rFonts w:hint="eastAsia" w:asciiTheme="minorEastAsia" w:hAnsiTheme="minorEastAsia" w:eastAsiaTheme="minorEastAsia" w:cstheme="minorEastAsia"/>
              </w:rPr>
            </w:pPr>
          </w:p>
        </w:tc>
      </w:tr>
    </w:tbl>
    <w:p w14:paraId="151A3E7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F388A1C">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第七章 电子投标文件格式</w:t>
      </w:r>
    </w:p>
    <w:p w14:paraId="25F904A2">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编制说明</w:t>
      </w:r>
    </w:p>
    <w:p w14:paraId="6F29E3A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1、除招标文件另有规定外，本章中：</w:t>
      </w:r>
    </w:p>
    <w:p w14:paraId="3382DAF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1.1涉及投标人的“全称”：</w:t>
      </w:r>
    </w:p>
    <w:p w14:paraId="5F61E74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（1）不接受联合体投标的，指投标人的全称。</w:t>
      </w:r>
    </w:p>
    <w:p w14:paraId="4937FCB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（2）接受联合体投标且投标人为联合体的，指牵头方的全称并加注（联合体牵头方），即应表述为：“牵头方的全称（联合体牵头方）”。</w:t>
      </w:r>
    </w:p>
    <w:p w14:paraId="6E1D619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1.2涉及投标人“加盖单位公章”：</w:t>
      </w:r>
    </w:p>
    <w:p w14:paraId="66E728D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（1）不接受联合体投标的，指加盖投标人的单位公章。</w:t>
      </w:r>
    </w:p>
    <w:p w14:paraId="4D97CE5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（2）接受联合体投标且投标人为联合体的，指加盖联合体牵头方的单位公章。</w:t>
      </w:r>
    </w:p>
    <w:p w14:paraId="108EC94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1.3涉及“投标人代表签字”：</w:t>
      </w:r>
    </w:p>
    <w:p w14:paraId="329CAB7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（1）不接受联合体投标的，指由投标人的单位负责人或其授权的委托代理人签字，由委托代理人签字的，应提供“单位授权书”。</w:t>
      </w:r>
    </w:p>
    <w:p w14:paraId="5AA1124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（2）接受联合体投标且投标人为联合体的，指由联合体牵头方的单位负责人或其授权的委托代理人签字，由委托代理人签字的，应提供“单位授权书”。</w:t>
      </w:r>
    </w:p>
    <w:p w14:paraId="5304720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1.4“其他组织”指合伙企业、非企业专业服务机构、个体工商户、农村承包经营户等。</w:t>
      </w:r>
    </w:p>
    <w:p w14:paraId="4C5D064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1.5“自然人”指具有完全民事行为能力、能够承担民事责任和义务的中国公民。</w:t>
      </w:r>
    </w:p>
    <w:p w14:paraId="7AECA92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2、除招标文件另有规定外，本章中“投标人的资格及资信证明文件”：</w:t>
      </w:r>
    </w:p>
    <w:p w14:paraId="73EA119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2.1投标人应按照招标文件第四章第1.3条第（2）款规定及本章规定进行编制，如有必要，可增加附页，附页作为资格及资信文件的组成部分。</w:t>
      </w:r>
    </w:p>
    <w:p w14:paraId="7A10AA1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2.2接受联合体投标且投标人为联合体的，联合体中的各方均应按照本章第2.1条规定提交相应的全部资料。</w:t>
      </w:r>
    </w:p>
    <w:p w14:paraId="25BB9A9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3、投标人对电子投标文件的索引应编制页码。</w:t>
      </w:r>
    </w:p>
    <w:p w14:paraId="36EBB63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4、本章提供格式仅供参考，投标人应根据自身实际情况制作电子投标文件。</w:t>
      </w:r>
    </w:p>
    <w:p w14:paraId="7D76DAE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6CBB162">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14:paraId="36011F54">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0D94E703">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2FAEE7AB">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AC25CA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7B38E82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1AA6FC79">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19AE613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7AF94736">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06EF5904">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0CB7A6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2841EA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18D7B87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一、投标函</w:t>
      </w:r>
    </w:p>
    <w:p w14:paraId="5BA0ABA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二、投标人的资格及资信证明文件</w:t>
      </w:r>
    </w:p>
    <w:p w14:paraId="7788362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三、投标保证金</w:t>
      </w:r>
    </w:p>
    <w:p w14:paraId="4505906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7ECF35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资格及资信证明部分中不得出现报价部分的全部或部分的投标报价信息（或组成资料），否则资格审查不合格。（联合体协议及分包意向协议中的比例规定，不适用本条款）</w:t>
      </w:r>
    </w:p>
    <w:p w14:paraId="4FF257C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25749A6">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14:paraId="10A17C2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FA2B99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14:paraId="02E4E59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6103244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7803563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0025BD8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49A19FC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23B144F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64F1619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4DFD4D3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5EF5633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21129E1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042AF10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12BB7DC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3E96C46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73CA1FC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25DC120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14:paraId="6083609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14:paraId="5A34BFC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1.1所投采购包的投标报价详见“开标（报价）一览表”及“投标（响应）报价明细表”。</w:t>
      </w:r>
    </w:p>
    <w:p w14:paraId="34D6785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14:paraId="6EA8526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14:paraId="2A1B9B2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14:paraId="0C856B3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14:paraId="77E2D78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14:paraId="27B0EE7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14:paraId="6C1DD8C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14:paraId="2A7AF62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14:paraId="4A6C221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14:paraId="2FB819B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2.8我方承诺遵守《中华人民共和国劳动合同法》有关规定和《中华人民共和国妇女权益保障法 》中关于“劳动和社会保障权益”的有关要求。</w:t>
      </w:r>
    </w:p>
    <w:p w14:paraId="36D5A9F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14:paraId="7318844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14:paraId="1D5346E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通信地址：</w:t>
      </w:r>
    </w:p>
    <w:p w14:paraId="6277E65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邮编：</w:t>
      </w:r>
    </w:p>
    <w:p w14:paraId="6CD06F1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14:paraId="3CA3B34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14:paraId="42010DE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663762F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CEF8DB7">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14:paraId="0204C89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14:paraId="55117E4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50A9DD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203809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14:paraId="1F17AF2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1894583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4DDCDB0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026657C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14:paraId="6DA60D4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319C939">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14:paraId="428DCC5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14:paraId="15ACB28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14:paraId="1CAA339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3DCCA7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14:paraId="46D9662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8AFC6D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14:paraId="52F1AE4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14:paraId="407628B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95F78B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14:paraId="2293521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56F7A69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14:paraId="33DE5A6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67EC0F98">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14:paraId="528474AC">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14:paraId="319A08CD">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14:paraId="3633FAC0">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14:paraId="4486FE0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14:paraId="3E86D23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14:paraId="1E0BB6D4">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14:paraId="6F2CF71A">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14:paraId="28D26B95">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14:paraId="01AC9099">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14:paraId="6F80CF35">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14:paraId="2C4F5760">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14:paraId="63C0096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1B86B38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90C219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14:paraId="0D500653">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4982D4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14:paraId="7CCFFA42">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14:paraId="27AA4DEF">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14:paraId="5DEE0C7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AA8C2E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14:paraId="16A2AAB3">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14:paraId="6D88159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8E1594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14:paraId="73EDB4A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14:paraId="0F71125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14:paraId="41398E0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14:paraId="1BD9979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14:paraId="7954449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AFC7B0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0132A32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D28F53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16900E8">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499881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3C8D38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14:paraId="34AD27C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9854A6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14:paraId="3EE68D5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14:paraId="6752586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14:paraId="50A6778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14:paraId="5878AA5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14:paraId="4FFC60D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14:paraId="2522E4A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14:paraId="44C5929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84B639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7897B4C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14:paraId="0B5BF1F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14:paraId="190540C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14:paraId="0958168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5A9966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555BFC9">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7D3FCF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6CDF42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14:paraId="370843B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EA5794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14:paraId="6437173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1624AE7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65759FD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12C0FA1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4E5267B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14:paraId="2793852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14:paraId="3DE073D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162B2F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47F3B59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14:paraId="76C025B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14:paraId="5C9CA57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7D8E075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14:paraId="2913341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3C42DE7">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56BDBA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228E34D">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14:paraId="1F93085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D91C29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14:paraId="4F30396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0C0335C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1E59F6E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6143CA9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561B985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14:paraId="77E1F5B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14:paraId="3E367F9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7B9265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313E378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14:paraId="7D141F2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14:paraId="7D55D29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3C22F23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14:paraId="7B28550E">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819D155">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8B2413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EC1670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14:paraId="415E918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C13E84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14:paraId="5E4A7F80">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5846204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281BC7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14:paraId="0698FC3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14:paraId="0F831BE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14:paraId="20A4DF7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DAC2C6E">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C3E278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CC5A50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14:paraId="157BB59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7EBF4A3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14:paraId="429025DF">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148DFA4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6EA7A4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9E91F8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14:paraId="736AB98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3F95D74">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44365D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42D720B">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14:paraId="243F607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14:paraId="5B0AD66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86A626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D84849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933F81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14:paraId="2606204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2C6EC858">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6F940E9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16A4E78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09B583F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2DA945B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2B1545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7593A22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79BC82B1">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86468D2">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69DCDE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7D5780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1FD1950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E7EACF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C44275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7DDD171">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18D00AA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6C9FFB6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709439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1A0B7E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03CD0F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6CBC382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38EFF58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61D8978">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11CA76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E177DE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1522B08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92F39D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4E78D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DF9CD1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14:paraId="06E9A56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028C441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3BEA9D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BDF8A4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092F6BE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3784ED6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1427D34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650DF94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5F1A252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1D46B169">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56610E1">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05C1DE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6AF2EF3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13265CD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4867D03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5A5B379">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14:paraId="26D0E22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3B35B0E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14:paraId="06911B2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14:paraId="4380171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14:paraId="6E6C881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6B8E23F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14:paraId="7F24594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148731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14:paraId="155CA75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710B88E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4446D36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46E6BAF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641498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14:paraId="65ABA12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85B4A1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14:paraId="1584E3D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6F16DF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14:paraId="6654A31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14:paraId="341B498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14:paraId="290B25F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76D972B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14:paraId="22FBA03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726F5ED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14:paraId="02742C6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00B895E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64BAAE5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14:paraId="14979F0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2A691AE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14:paraId="328B9F8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8AA388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14:paraId="3E10C5A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59AE09D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14:paraId="4E100F7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1CC239D">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14:paraId="179E527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14:paraId="30C7DAD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14:paraId="232476C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14:paraId="090337D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14:paraId="2A75D7C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14:paraId="6EB76F2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14:paraId="61D8ABD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0636DF2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14:paraId="53EB96E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1"/>
        <w:gridCol w:w="4981"/>
      </w:tblGrid>
      <w:tr w14:paraId="7314AB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20802F0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2500" w:type="pct"/>
          </w:tcPr>
          <w:p w14:paraId="292D6A2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14:paraId="62D5F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07317B0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2500" w:type="pct"/>
          </w:tcPr>
          <w:p w14:paraId="4838D45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14:paraId="58CBE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C48F90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2500" w:type="pct"/>
          </w:tcPr>
          <w:p w14:paraId="35881BC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14:paraId="5BDD6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5605863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2500" w:type="pct"/>
          </w:tcPr>
          <w:p w14:paraId="40B0AB2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14:paraId="1AD31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6866AFA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2500" w:type="pct"/>
          </w:tcPr>
          <w:p w14:paraId="0E9A8E4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14:paraId="079FE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10B10B8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2500" w:type="pct"/>
          </w:tcPr>
          <w:p w14:paraId="0729DC9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14:paraId="2A3B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62FE1417">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14:paraId="3413844A">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14:paraId="382E422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565109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14:paraId="7F12841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38E5C3F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14:paraId="6EBD1F1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5FF9822">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14:paraId="73FFF04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14:paraId="7BBB3C3A">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13DC15D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14:paraId="7655AC9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8C8168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14:paraId="2C9B0882">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2A2C84A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14:paraId="005667B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14:paraId="22F07E7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25AA48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14:paraId="46ECEF31">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C3192E1">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2F040659">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098834D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587696F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6DDB6D1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763DA24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5BD19A46">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1960019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2793CAC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2C9BC2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21B0775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一、开标（报价）一览表</w:t>
      </w:r>
    </w:p>
    <w:p w14:paraId="0E148A3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二、投标（响应）报价明细表</w:t>
      </w:r>
    </w:p>
    <w:p w14:paraId="3CDB609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三、招标文件规定的价格扣除证明材料（若有）</w:t>
      </w:r>
    </w:p>
    <w:p w14:paraId="5D76C9A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81001ED">
      <w:pPr>
        <w:pStyle w:val="7"/>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14:paraId="07015E3D">
      <w:pPr>
        <w:pStyle w:val="7"/>
        <w:ind w:right="165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项目编号：[350001]HZZB[GK]2026006</w:t>
      </w:r>
    </w:p>
    <w:p w14:paraId="5859F38A">
      <w:pPr>
        <w:pStyle w:val="7"/>
        <w:spacing w:line="375"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项目名称：药学院药物靶标蛋白结构成像系统采购项目</w:t>
      </w:r>
    </w:p>
    <w:p w14:paraId="402BEDE9">
      <w:pPr>
        <w:pStyle w:val="7"/>
        <w:spacing w:line="375"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采购包：1(药学院药物靶标蛋白结构成像系统采购项目)</w:t>
      </w:r>
    </w:p>
    <w:p w14:paraId="40863CF2">
      <w:pPr>
        <w:pStyle w:val="7"/>
        <w:spacing w:line="375"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14:paraId="28763FD0">
      <w:pPr>
        <w:pStyle w:val="7"/>
        <w:jc w:val="left"/>
        <w:rPr>
          <w:rFonts w:hint="eastAsia" w:asciiTheme="minorEastAsia" w:hAnsiTheme="minorEastAsia" w:eastAsiaTheme="minorEastAsia" w:cstheme="minorEastAsia"/>
        </w:rPr>
      </w:pP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1991"/>
        <w:gridCol w:w="1992"/>
        <w:gridCol w:w="1992"/>
        <w:gridCol w:w="1992"/>
      </w:tblGrid>
      <w:tr w14:paraId="3AFC8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4FEE685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000" w:type="pct"/>
          </w:tcPr>
          <w:p w14:paraId="42E33BD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000" w:type="pct"/>
          </w:tcPr>
          <w:p w14:paraId="399D6B4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000" w:type="pct"/>
          </w:tcPr>
          <w:p w14:paraId="3DE1230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000" w:type="pct"/>
          </w:tcPr>
          <w:p w14:paraId="07FAC59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14:paraId="706C3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05358BE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000" w:type="pct"/>
          </w:tcPr>
          <w:p w14:paraId="073A772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药学院药物靶标蛋白结构成像系统采购项目</w:t>
            </w:r>
          </w:p>
        </w:tc>
        <w:tc>
          <w:tcPr>
            <w:tcW w:w="1000" w:type="pct"/>
          </w:tcPr>
          <w:p w14:paraId="1C466FE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9580000  元</w:t>
            </w:r>
          </w:p>
        </w:tc>
        <w:tc>
          <w:tcPr>
            <w:tcW w:w="1000" w:type="pct"/>
          </w:tcPr>
          <w:p w14:paraId="1D20B93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000" w:type="pct"/>
          </w:tcPr>
          <w:p w14:paraId="2911336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14:paraId="6C7B0D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446E490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66FE38F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37B940B2">
      <w:pPr>
        <w:pStyle w:val="7"/>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14:paraId="1ADC1E3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项目编号：[350001]HZZB[GK]2026006</w:t>
      </w:r>
    </w:p>
    <w:p w14:paraId="269FB27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项目名称：药学院药物靶标蛋白结构成像系统采购项目</w:t>
      </w:r>
    </w:p>
    <w:p w14:paraId="022EC34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采购包：药学院药物靶标蛋白结构成像系统采购项目</w:t>
      </w:r>
    </w:p>
    <w:p w14:paraId="15E0F42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14:paraId="00B31DE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药物靶标蛋白结构成像系统</w:t>
      </w:r>
    </w:p>
    <w:p w14:paraId="402C6726">
      <w:pPr>
        <w:pStyle w:val="7"/>
        <w:jc w:val="left"/>
        <w:rPr>
          <w:rFonts w:hint="eastAsia" w:asciiTheme="minorEastAsia" w:hAnsiTheme="minorEastAsia" w:eastAsiaTheme="minorEastAsia" w:cstheme="minorEastAsia"/>
        </w:rPr>
      </w:pP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5"/>
        <w:gridCol w:w="725"/>
        <w:gridCol w:w="726"/>
        <w:gridCol w:w="726"/>
        <w:gridCol w:w="726"/>
        <w:gridCol w:w="726"/>
        <w:gridCol w:w="1041"/>
        <w:gridCol w:w="726"/>
        <w:gridCol w:w="927"/>
        <w:gridCol w:w="726"/>
        <w:gridCol w:w="726"/>
        <w:gridCol w:w="726"/>
        <w:gridCol w:w="726"/>
      </w:tblGrid>
      <w:tr w14:paraId="68F4EC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2B682C6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364" w:type="pct"/>
          </w:tcPr>
          <w:p w14:paraId="4EA0821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364" w:type="pct"/>
          </w:tcPr>
          <w:p w14:paraId="7338355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364" w:type="pct"/>
          </w:tcPr>
          <w:p w14:paraId="5A49B71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364" w:type="pct"/>
          </w:tcPr>
          <w:p w14:paraId="0DCB673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364" w:type="pct"/>
          </w:tcPr>
          <w:p w14:paraId="36FA05C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522" w:type="pct"/>
          </w:tcPr>
          <w:p w14:paraId="4A7E8B9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364" w:type="pct"/>
          </w:tcPr>
          <w:p w14:paraId="5A85EEE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465" w:type="pct"/>
          </w:tcPr>
          <w:p w14:paraId="327B13A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364" w:type="pct"/>
          </w:tcPr>
          <w:p w14:paraId="65127A7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364" w:type="pct"/>
          </w:tcPr>
          <w:p w14:paraId="4D9BF34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364" w:type="pct"/>
          </w:tcPr>
          <w:p w14:paraId="0241E67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364" w:type="pct"/>
          </w:tcPr>
          <w:p w14:paraId="7E87838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67CF42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3081785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364" w:type="pct"/>
          </w:tcPr>
          <w:p w14:paraId="59E6FBE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药物靶标蛋白结构成像系统</w:t>
            </w:r>
          </w:p>
        </w:tc>
        <w:tc>
          <w:tcPr>
            <w:tcW w:w="364" w:type="pct"/>
          </w:tcPr>
          <w:p w14:paraId="6064E9E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4" w:type="pct"/>
          </w:tcPr>
          <w:p w14:paraId="48C7972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4" w:type="pct"/>
          </w:tcPr>
          <w:p w14:paraId="620F581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4" w:type="pct"/>
          </w:tcPr>
          <w:p w14:paraId="7466DD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522" w:type="pct"/>
          </w:tcPr>
          <w:p w14:paraId="7C15C46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9580000  元</w:t>
            </w:r>
          </w:p>
        </w:tc>
        <w:tc>
          <w:tcPr>
            <w:tcW w:w="364" w:type="pct"/>
          </w:tcPr>
          <w:p w14:paraId="1A5BA0A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465" w:type="pct"/>
          </w:tcPr>
          <w:p w14:paraId="3AC57CE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364" w:type="pct"/>
          </w:tcPr>
          <w:p w14:paraId="5DCAECB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364" w:type="pct"/>
          </w:tcPr>
          <w:p w14:paraId="79A5CBF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364" w:type="pct"/>
          </w:tcPr>
          <w:p w14:paraId="565737E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4" w:type="pct"/>
          </w:tcPr>
          <w:p w14:paraId="2655F41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11885A5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5CC3B5A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4A73376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7BE6566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0CC31BA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2DBA5CF">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14:paraId="73EBA2C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14:paraId="4B6B369F">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14:paraId="12E8765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8"/>
        <w:gridCol w:w="2489"/>
        <w:gridCol w:w="2489"/>
        <w:gridCol w:w="2494"/>
      </w:tblGrid>
      <w:tr w14:paraId="7A194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31A0D4C0">
            <w:pPr>
              <w:rPr>
                <w:rFonts w:hint="eastAsia" w:asciiTheme="minorEastAsia" w:hAnsiTheme="minorEastAsia" w:eastAsiaTheme="minorEastAsia" w:cstheme="minorEastAsia"/>
              </w:rPr>
            </w:pPr>
          </w:p>
        </w:tc>
        <w:tc>
          <w:tcPr>
            <w:tcW w:w="3750" w:type="pct"/>
            <w:gridSpan w:val="3"/>
          </w:tcPr>
          <w:p w14:paraId="4A333D8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14:paraId="02809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7CD8D9E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249" w:type="pct"/>
          </w:tcPr>
          <w:p w14:paraId="46F9AC4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249" w:type="pct"/>
          </w:tcPr>
          <w:p w14:paraId="7B817FC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1250" w:type="pct"/>
          </w:tcPr>
          <w:p w14:paraId="250AA08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14:paraId="01E42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vMerge w:val="restart"/>
          </w:tcPr>
          <w:p w14:paraId="74CFDBB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249" w:type="pct"/>
          </w:tcPr>
          <w:p w14:paraId="085A991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49" w:type="pct"/>
          </w:tcPr>
          <w:p w14:paraId="4FD4C81C">
            <w:pPr>
              <w:rPr>
                <w:rFonts w:hint="eastAsia" w:asciiTheme="minorEastAsia" w:hAnsiTheme="minorEastAsia" w:eastAsiaTheme="minorEastAsia" w:cstheme="minorEastAsia"/>
              </w:rPr>
            </w:pPr>
          </w:p>
        </w:tc>
        <w:tc>
          <w:tcPr>
            <w:tcW w:w="1250" w:type="pct"/>
          </w:tcPr>
          <w:p w14:paraId="57D4132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14:paraId="1BECB1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vMerge w:val="continue"/>
          </w:tcPr>
          <w:p w14:paraId="68F2844D">
            <w:pPr>
              <w:rPr>
                <w:rFonts w:hint="eastAsia" w:asciiTheme="minorEastAsia" w:hAnsiTheme="minorEastAsia" w:eastAsiaTheme="minorEastAsia" w:cstheme="minorEastAsia"/>
              </w:rPr>
            </w:pPr>
          </w:p>
        </w:tc>
        <w:tc>
          <w:tcPr>
            <w:tcW w:w="1249" w:type="pct"/>
          </w:tcPr>
          <w:p w14:paraId="027EACF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20B4288">
            <w:pPr>
              <w:pStyle w:val="7"/>
              <w:jc w:val="left"/>
              <w:rPr>
                <w:rFonts w:hint="eastAsia" w:asciiTheme="minorEastAsia" w:hAnsiTheme="minorEastAsia" w:eastAsiaTheme="minorEastAsia" w:cstheme="minorEastAsia"/>
              </w:rPr>
            </w:pPr>
          </w:p>
        </w:tc>
        <w:tc>
          <w:tcPr>
            <w:tcW w:w="1249" w:type="pct"/>
          </w:tcPr>
          <w:p w14:paraId="2D445460">
            <w:pPr>
              <w:rPr>
                <w:rFonts w:hint="eastAsia" w:asciiTheme="minorEastAsia" w:hAnsiTheme="minorEastAsia" w:eastAsiaTheme="minorEastAsia" w:cstheme="minorEastAsia"/>
              </w:rPr>
            </w:pPr>
          </w:p>
        </w:tc>
        <w:tc>
          <w:tcPr>
            <w:tcW w:w="1250" w:type="pct"/>
          </w:tcPr>
          <w:p w14:paraId="4EFC2807">
            <w:pPr>
              <w:rPr>
                <w:rFonts w:hint="eastAsia" w:asciiTheme="minorEastAsia" w:hAnsiTheme="minorEastAsia" w:eastAsiaTheme="minorEastAsia" w:cstheme="minorEastAsia"/>
              </w:rPr>
            </w:pPr>
          </w:p>
        </w:tc>
      </w:tr>
      <w:tr w14:paraId="60F73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58D5C2D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750" w:type="pct"/>
            <w:gridSpan w:val="3"/>
          </w:tcPr>
          <w:p w14:paraId="2493BF85">
            <w:pPr>
              <w:pStyle w:val="7"/>
              <w:jc w:val="left"/>
              <w:rPr>
                <w:rFonts w:hint="eastAsia" w:asciiTheme="minorEastAsia" w:hAnsiTheme="minorEastAsia" w:eastAsiaTheme="minorEastAsia" w:cstheme="minorEastAsia"/>
              </w:rPr>
            </w:pPr>
          </w:p>
        </w:tc>
      </w:tr>
    </w:tbl>
    <w:p w14:paraId="25BF0E8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A4248B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1、对节能、环境标志产品计算价格扣除时，只依据电子投标文件“投标（响应）报价明细表”以及“优先类节能产品、环境标志产品证明材料（价格扣除适用，若有）”。</w:t>
      </w:r>
    </w:p>
    <w:p w14:paraId="34E34E7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14:paraId="141D23F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14:paraId="06492B1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3.1同一品目中各认证证书不重复计算价格扣除。</w:t>
      </w:r>
    </w:p>
    <w:p w14:paraId="0F91000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14:paraId="67D0A3E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14:paraId="162788D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14:paraId="6E896DE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14:paraId="54DDD51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39A16EA7">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4569E7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27D7EE5">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14:paraId="4A11C835">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14:paraId="70B28DB5">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14:paraId="6A7854AF">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488433D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68F1282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34EE996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508F461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CE959B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53C26E9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4EE6F739">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F8F863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A990BE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F91E51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2E4971F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7C6380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33A2C1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CCE458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4FF5975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5AB35BC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37B7886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181F987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1C02A8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52BC792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76257D2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D714FD4">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B51F64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D08629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633B9B2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94D117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208469B">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C7D6A1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14:paraId="10C9C527">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3D5FA6F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14:paraId="5B8A7B2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14:paraId="066ADF1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251B6A7D">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14:paraId="29997BB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1EA15E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42E1C5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48CF4D0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397A67A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38A9599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716CF70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54C9C9E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44CA7197">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BAAE5C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EF15ED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p>
    <w:p w14:paraId="6B8AF60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0EB77EFD">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6AE1852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6B120F5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B2C7B3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三-3本国产品证明材料（若有）</w:t>
      </w:r>
    </w:p>
    <w:p w14:paraId="0333F69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三-3-①关于符合本国产品标准的声明函（价格扣除适用，若有）</w:t>
      </w:r>
    </w:p>
    <w:p w14:paraId="295746C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本公司（单位）郑重声明，根据《国务院办公厅关于在政府采购中实施本国产品标准及相关政策的通知》（国办发〔2025〕34号）的规定，本公司（单位）提供的以下产品属于本国产品。具体情况如下：</w:t>
      </w:r>
    </w:p>
    <w:p w14:paraId="4679EDA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名称1），生产厂为（厂名），厂址为（生产厂址）。（产品名称1）的中国境内生产的组件成本占比≥（规定比例）。（产品名称）的（关键组件）在中国境内生产。（产品名称）的（关键工序）在中国境内完成。</w:t>
      </w:r>
    </w:p>
    <w:p w14:paraId="75F1A61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名称2），生产厂为（厂名），厂址为（生产厂址）。（产品名称2）的中国境内生产的组件成本占比≥（规定比例）。（产品名称2）的（关键组件）在中国境内生产。（产品名称2）的（关键工序）在中国境内完成。</w:t>
      </w:r>
    </w:p>
    <w:p w14:paraId="5E5A425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1C47513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本公司（单位）对上述声明内容的真实性负责。如有虚假，愿承担相应法律责任。</w:t>
      </w:r>
    </w:p>
    <w:p w14:paraId="236C95B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公司（单位）名称（盖章）：</w:t>
      </w:r>
    </w:p>
    <w:p w14:paraId="7F198E83">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0AFBAB77">
      <w:pPr>
        <w:pStyle w:val="7"/>
        <w:pBdr>
          <w:bottom w:val="single" w:color="auto" w:sz="6" w:space="1"/>
          <w:between w:val="single" w:color="auto" w:sz="6" w:space="1"/>
        </w:pBdr>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1.产品如有型号，请在"产品名称"栏一并填写。</w:t>
      </w:r>
    </w:p>
    <w:p w14:paraId="6600D8F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2.生产厂名与厂址应与生产厂营业执照载明的相关信息保持一致。</w:t>
      </w:r>
    </w:p>
    <w:p w14:paraId="6D619C9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3.该产品的中国境内生产的组件成本占比相关要求实施前，"规定比例"栏可不填，下同。</w:t>
      </w:r>
    </w:p>
    <w:p w14:paraId="24FF23B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4.该产品的关键组件要求实施前，"关键组件"栏可不填，下同。</w:t>
      </w:r>
    </w:p>
    <w:p w14:paraId="2BDB348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5.该产品的关键工序要求实施前，"关键工序"栏可不填，下同。</w:t>
      </w:r>
    </w:p>
    <w:p w14:paraId="7FC1430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793FB73">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三-3-②《本国产品成本占比说明》（价格扣除适用，若有）</w:t>
      </w:r>
    </w:p>
    <w:p w14:paraId="5A2069FA">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9"/>
        <w:gridCol w:w="2489"/>
        <w:gridCol w:w="2490"/>
        <w:gridCol w:w="2490"/>
      </w:tblGrid>
      <w:tr w14:paraId="115CC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5E0ECD8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250" w:type="pct"/>
          </w:tcPr>
          <w:p w14:paraId="23AD02D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采购文件要求的产品名称</w:t>
            </w:r>
          </w:p>
        </w:tc>
        <w:tc>
          <w:tcPr>
            <w:tcW w:w="1250" w:type="pct"/>
          </w:tcPr>
          <w:p w14:paraId="3BDDEF0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响应文件中响应的主要产品/技术名称(规格型号)</w:t>
            </w:r>
          </w:p>
        </w:tc>
        <w:tc>
          <w:tcPr>
            <w:tcW w:w="1250" w:type="pct"/>
          </w:tcPr>
          <w:p w14:paraId="0DC5D00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响应的产品是否为本国产品</w:t>
            </w:r>
          </w:p>
        </w:tc>
      </w:tr>
      <w:tr w14:paraId="4D260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0457EFE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50" w:type="pct"/>
          </w:tcPr>
          <w:p w14:paraId="7E2E4646">
            <w:pPr>
              <w:rPr>
                <w:rFonts w:hint="eastAsia" w:asciiTheme="minorEastAsia" w:hAnsiTheme="minorEastAsia" w:eastAsiaTheme="minorEastAsia" w:cstheme="minorEastAsia"/>
              </w:rPr>
            </w:pPr>
          </w:p>
        </w:tc>
        <w:tc>
          <w:tcPr>
            <w:tcW w:w="1250" w:type="pct"/>
          </w:tcPr>
          <w:p w14:paraId="5C8C2E34">
            <w:pPr>
              <w:rPr>
                <w:rFonts w:hint="eastAsia" w:asciiTheme="minorEastAsia" w:hAnsiTheme="minorEastAsia" w:eastAsiaTheme="minorEastAsia" w:cstheme="minorEastAsia"/>
              </w:rPr>
            </w:pPr>
          </w:p>
        </w:tc>
        <w:tc>
          <w:tcPr>
            <w:tcW w:w="1250" w:type="pct"/>
          </w:tcPr>
          <w:p w14:paraId="4A5D87AA">
            <w:pPr>
              <w:rPr>
                <w:rFonts w:hint="eastAsia" w:asciiTheme="minorEastAsia" w:hAnsiTheme="minorEastAsia" w:eastAsiaTheme="minorEastAsia" w:cstheme="minorEastAsia"/>
              </w:rPr>
            </w:pPr>
          </w:p>
        </w:tc>
      </w:tr>
      <w:tr w14:paraId="6A6CD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53648AD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250" w:type="pct"/>
          </w:tcPr>
          <w:p w14:paraId="2020A366">
            <w:pPr>
              <w:rPr>
                <w:rFonts w:hint="eastAsia" w:asciiTheme="minorEastAsia" w:hAnsiTheme="minorEastAsia" w:eastAsiaTheme="minorEastAsia" w:cstheme="minorEastAsia"/>
              </w:rPr>
            </w:pPr>
          </w:p>
        </w:tc>
        <w:tc>
          <w:tcPr>
            <w:tcW w:w="1250" w:type="pct"/>
          </w:tcPr>
          <w:p w14:paraId="6C75BFF9">
            <w:pPr>
              <w:rPr>
                <w:rFonts w:hint="eastAsia" w:asciiTheme="minorEastAsia" w:hAnsiTheme="minorEastAsia" w:eastAsiaTheme="minorEastAsia" w:cstheme="minorEastAsia"/>
              </w:rPr>
            </w:pPr>
          </w:p>
        </w:tc>
        <w:tc>
          <w:tcPr>
            <w:tcW w:w="1250" w:type="pct"/>
          </w:tcPr>
          <w:p w14:paraId="522A4EF5">
            <w:pPr>
              <w:rPr>
                <w:rFonts w:hint="eastAsia" w:asciiTheme="minorEastAsia" w:hAnsiTheme="minorEastAsia" w:eastAsiaTheme="minorEastAsia" w:cstheme="minorEastAsia"/>
              </w:rPr>
            </w:pPr>
          </w:p>
        </w:tc>
      </w:tr>
      <w:tr w14:paraId="5258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7008492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250" w:type="pct"/>
          </w:tcPr>
          <w:p w14:paraId="3ECFAD7B">
            <w:pPr>
              <w:rPr>
                <w:rFonts w:hint="eastAsia" w:asciiTheme="minorEastAsia" w:hAnsiTheme="minorEastAsia" w:eastAsiaTheme="minorEastAsia" w:cstheme="minorEastAsia"/>
              </w:rPr>
            </w:pPr>
          </w:p>
        </w:tc>
        <w:tc>
          <w:tcPr>
            <w:tcW w:w="1250" w:type="pct"/>
          </w:tcPr>
          <w:p w14:paraId="01E3F156">
            <w:pPr>
              <w:rPr>
                <w:rFonts w:hint="eastAsia" w:asciiTheme="minorEastAsia" w:hAnsiTheme="minorEastAsia" w:eastAsiaTheme="minorEastAsia" w:cstheme="minorEastAsia"/>
              </w:rPr>
            </w:pPr>
          </w:p>
        </w:tc>
        <w:tc>
          <w:tcPr>
            <w:tcW w:w="1250" w:type="pct"/>
          </w:tcPr>
          <w:p w14:paraId="660D103A">
            <w:pPr>
              <w:rPr>
                <w:rFonts w:hint="eastAsia" w:asciiTheme="minorEastAsia" w:hAnsiTheme="minorEastAsia" w:eastAsiaTheme="minorEastAsia" w:cstheme="minorEastAsia"/>
              </w:rPr>
            </w:pPr>
          </w:p>
        </w:tc>
      </w:tr>
      <w:tr w14:paraId="3B059D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50" w:type="pct"/>
            <w:gridSpan w:val="3"/>
          </w:tcPr>
          <w:p w14:paraId="0FFEABC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供应商为该采购项目或者采购包提供的符合本国产品标准的产品成本之和占该供应商提供的全部产品成本之和的比例是否达到80%</w:t>
            </w:r>
          </w:p>
        </w:tc>
        <w:tc>
          <w:tcPr>
            <w:tcW w:w="1250" w:type="pct"/>
          </w:tcPr>
          <w:p w14:paraId="7BF8F791">
            <w:pPr>
              <w:rPr>
                <w:rFonts w:hint="eastAsia" w:asciiTheme="minorEastAsia" w:hAnsiTheme="minorEastAsia" w:eastAsiaTheme="minorEastAsia" w:cstheme="minorEastAsia"/>
              </w:rPr>
            </w:pPr>
          </w:p>
        </w:tc>
      </w:tr>
    </w:tbl>
    <w:p w14:paraId="261527A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本公司（单位）对上述承诺承担全部法律责任，若存在虚假承诺或与实际不符情形，自愿接受政府采购相关法律法规及监管规定处理，并承担由此产生的一切法律后果与经济责任。</w:t>
      </w:r>
    </w:p>
    <w:p w14:paraId="24C3761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供应商名称（盖章）：</w:t>
      </w:r>
      <w:r>
        <w:rPr>
          <w:rFonts w:hint="eastAsia" w:asciiTheme="minorEastAsia" w:hAnsiTheme="minorEastAsia" w:eastAsiaTheme="minorEastAsia" w:cstheme="minorEastAsia"/>
          <w:u w:val="single"/>
        </w:rPr>
        <w:t xml:space="preserve">                    </w:t>
      </w:r>
    </w:p>
    <w:p w14:paraId="29363C5E">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3727FBA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注：</w:t>
      </w:r>
    </w:p>
    <w:p w14:paraId="1A7E037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6791FA6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 供应商须同时出具《关于符合本国产品标准的声明函》（样式见下附件2）或财政部会同有关部门规定的有关证明文件。出具符合要求的《声明函》或有关证明文件的，该产品视为本国产品。</w:t>
      </w:r>
    </w:p>
    <w:p w14:paraId="3E26201F">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38BE044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 若本国产品说明和关于符合本国产品标准的声明函出现不一致，以《关于符合本国产品标准的声明函》为准。</w:t>
      </w:r>
    </w:p>
    <w:p w14:paraId="225C523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A6491F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三-4招标文件规定的其他价格扣除证明材料（若有）</w:t>
      </w:r>
    </w:p>
    <w:p w14:paraId="36749181">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0CE6D3C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14:paraId="5793BD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26E0584">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14:paraId="3C592820">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23C3286A">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3D6FEE4A">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76E0F46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4A58F0D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2213FBE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5E368A1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728D9E9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01F7536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75310A2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8FC0C8F">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71099D4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一、标的说明一览表</w:t>
      </w:r>
    </w:p>
    <w:p w14:paraId="16729B7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二、技术和服务要求响应表</w:t>
      </w:r>
    </w:p>
    <w:p w14:paraId="2D55906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三、商务条件响应表</w:t>
      </w:r>
    </w:p>
    <w:p w14:paraId="4CE73490">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四、投标人提交的其他资料（若有）</w:t>
      </w:r>
    </w:p>
    <w:p w14:paraId="2B6909C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047348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技术商务部分中不得出现报价部分的全部或部分的投标报价信息（或组成资料），否则符合性审查不合格。</w:t>
      </w:r>
    </w:p>
    <w:p w14:paraId="1FF986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9C07FA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14:paraId="61048A6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29648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2944B5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40D0034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1809301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1187" w:type="dxa"/>
          </w:tcPr>
          <w:p w14:paraId="14BF4D9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187" w:type="dxa"/>
          </w:tcPr>
          <w:p w14:paraId="1306D08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1187" w:type="dxa"/>
          </w:tcPr>
          <w:p w14:paraId="126DC0E5">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1187" w:type="dxa"/>
          </w:tcPr>
          <w:p w14:paraId="3EC46A0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01F1D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02E206DD">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4703F5B0">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513B58EC">
            <w:pPr>
              <w:rPr>
                <w:rFonts w:hint="eastAsia" w:asciiTheme="minorEastAsia" w:hAnsiTheme="minorEastAsia" w:eastAsiaTheme="minorEastAsia" w:cstheme="minorEastAsia"/>
              </w:rPr>
            </w:pPr>
          </w:p>
        </w:tc>
        <w:tc>
          <w:tcPr>
            <w:tcW w:w="1187" w:type="dxa"/>
          </w:tcPr>
          <w:p w14:paraId="025A60FF">
            <w:pPr>
              <w:rPr>
                <w:rFonts w:hint="eastAsia" w:asciiTheme="minorEastAsia" w:hAnsiTheme="minorEastAsia" w:eastAsiaTheme="minorEastAsia" w:cstheme="minorEastAsia"/>
              </w:rPr>
            </w:pPr>
          </w:p>
        </w:tc>
        <w:tc>
          <w:tcPr>
            <w:tcW w:w="1187" w:type="dxa"/>
          </w:tcPr>
          <w:p w14:paraId="50737246">
            <w:pPr>
              <w:rPr>
                <w:rFonts w:hint="eastAsia" w:asciiTheme="minorEastAsia" w:hAnsiTheme="minorEastAsia" w:eastAsiaTheme="minorEastAsia" w:cstheme="minorEastAsia"/>
              </w:rPr>
            </w:pPr>
          </w:p>
        </w:tc>
        <w:tc>
          <w:tcPr>
            <w:tcW w:w="1187" w:type="dxa"/>
          </w:tcPr>
          <w:p w14:paraId="06C49AE2">
            <w:pPr>
              <w:rPr>
                <w:rFonts w:hint="eastAsia" w:asciiTheme="minorEastAsia" w:hAnsiTheme="minorEastAsia" w:eastAsiaTheme="minorEastAsia" w:cstheme="minorEastAsia"/>
              </w:rPr>
            </w:pPr>
          </w:p>
        </w:tc>
      </w:tr>
      <w:tr w14:paraId="7BBE7F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120291C3">
            <w:pPr>
              <w:rPr>
                <w:rFonts w:hint="eastAsia" w:asciiTheme="minorEastAsia" w:hAnsiTheme="minorEastAsia" w:eastAsiaTheme="minorEastAsia" w:cstheme="minorEastAsia"/>
              </w:rPr>
            </w:pPr>
          </w:p>
        </w:tc>
        <w:tc>
          <w:tcPr>
            <w:tcW w:w="1187" w:type="dxa"/>
          </w:tcPr>
          <w:p w14:paraId="5EBD849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05274652">
            <w:pPr>
              <w:rPr>
                <w:rFonts w:hint="eastAsia" w:asciiTheme="minorEastAsia" w:hAnsiTheme="minorEastAsia" w:eastAsiaTheme="minorEastAsia" w:cstheme="minorEastAsia"/>
              </w:rPr>
            </w:pPr>
          </w:p>
        </w:tc>
        <w:tc>
          <w:tcPr>
            <w:tcW w:w="1187" w:type="dxa"/>
          </w:tcPr>
          <w:p w14:paraId="3C89AA1D">
            <w:pPr>
              <w:rPr>
                <w:rFonts w:hint="eastAsia" w:asciiTheme="minorEastAsia" w:hAnsiTheme="minorEastAsia" w:eastAsiaTheme="minorEastAsia" w:cstheme="minorEastAsia"/>
              </w:rPr>
            </w:pPr>
          </w:p>
        </w:tc>
        <w:tc>
          <w:tcPr>
            <w:tcW w:w="1187" w:type="dxa"/>
          </w:tcPr>
          <w:p w14:paraId="740951DA">
            <w:pPr>
              <w:rPr>
                <w:rFonts w:hint="eastAsia" w:asciiTheme="minorEastAsia" w:hAnsiTheme="minorEastAsia" w:eastAsiaTheme="minorEastAsia" w:cstheme="minorEastAsia"/>
              </w:rPr>
            </w:pPr>
          </w:p>
        </w:tc>
        <w:tc>
          <w:tcPr>
            <w:tcW w:w="1187" w:type="dxa"/>
          </w:tcPr>
          <w:p w14:paraId="0809A7CA">
            <w:pPr>
              <w:rPr>
                <w:rFonts w:hint="eastAsia" w:asciiTheme="minorEastAsia" w:hAnsiTheme="minorEastAsia" w:eastAsiaTheme="minorEastAsia" w:cstheme="minorEastAsia"/>
              </w:rPr>
            </w:pPr>
          </w:p>
        </w:tc>
      </w:tr>
      <w:tr w14:paraId="5E3966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71FEA57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6767B742">
            <w:pPr>
              <w:rPr>
                <w:rFonts w:hint="eastAsia" w:asciiTheme="minorEastAsia" w:hAnsiTheme="minorEastAsia" w:eastAsiaTheme="minorEastAsia" w:cstheme="minorEastAsia"/>
              </w:rPr>
            </w:pPr>
          </w:p>
        </w:tc>
        <w:tc>
          <w:tcPr>
            <w:tcW w:w="1187" w:type="dxa"/>
          </w:tcPr>
          <w:p w14:paraId="4227CE84">
            <w:pPr>
              <w:rPr>
                <w:rFonts w:hint="eastAsia" w:asciiTheme="minorEastAsia" w:hAnsiTheme="minorEastAsia" w:eastAsiaTheme="minorEastAsia" w:cstheme="minorEastAsia"/>
              </w:rPr>
            </w:pPr>
          </w:p>
        </w:tc>
        <w:tc>
          <w:tcPr>
            <w:tcW w:w="1187" w:type="dxa"/>
          </w:tcPr>
          <w:p w14:paraId="03FC1892">
            <w:pPr>
              <w:rPr>
                <w:rFonts w:hint="eastAsia" w:asciiTheme="minorEastAsia" w:hAnsiTheme="minorEastAsia" w:eastAsiaTheme="minorEastAsia" w:cstheme="minorEastAsia"/>
              </w:rPr>
            </w:pPr>
          </w:p>
        </w:tc>
        <w:tc>
          <w:tcPr>
            <w:tcW w:w="1187" w:type="dxa"/>
          </w:tcPr>
          <w:p w14:paraId="6DB918AB">
            <w:pPr>
              <w:rPr>
                <w:rFonts w:hint="eastAsia" w:asciiTheme="minorEastAsia" w:hAnsiTheme="minorEastAsia" w:eastAsiaTheme="minorEastAsia" w:cstheme="minorEastAsia"/>
              </w:rPr>
            </w:pPr>
          </w:p>
        </w:tc>
        <w:tc>
          <w:tcPr>
            <w:tcW w:w="1187" w:type="dxa"/>
          </w:tcPr>
          <w:p w14:paraId="1DA79D71">
            <w:pPr>
              <w:rPr>
                <w:rFonts w:hint="eastAsia" w:asciiTheme="minorEastAsia" w:hAnsiTheme="minorEastAsia" w:eastAsiaTheme="minorEastAsia" w:cstheme="minorEastAsia"/>
              </w:rPr>
            </w:pPr>
          </w:p>
        </w:tc>
      </w:tr>
    </w:tbl>
    <w:p w14:paraId="145F5AE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B1C1A8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2FAAE80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14:paraId="4E2C1D14">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38A620B7">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14:paraId="2FB8862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0BFEB99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14:paraId="480E6F6D">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8EFDD3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414773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74B578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14:paraId="34B27A6E">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1991"/>
        <w:gridCol w:w="1992"/>
        <w:gridCol w:w="1992"/>
        <w:gridCol w:w="1992"/>
      </w:tblGrid>
      <w:tr w14:paraId="56F8C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1408010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000" w:type="pct"/>
          </w:tcPr>
          <w:p w14:paraId="10A5DDD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000" w:type="pct"/>
          </w:tcPr>
          <w:p w14:paraId="3E80C30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000" w:type="pct"/>
          </w:tcPr>
          <w:p w14:paraId="7950CB44">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000" w:type="pct"/>
          </w:tcPr>
          <w:p w14:paraId="0F1CFBE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043011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restart"/>
          </w:tcPr>
          <w:p w14:paraId="26BF1E87">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6B02039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000" w:type="pct"/>
          </w:tcPr>
          <w:p w14:paraId="19396942">
            <w:pPr>
              <w:rPr>
                <w:rFonts w:hint="eastAsia" w:asciiTheme="minorEastAsia" w:hAnsiTheme="minorEastAsia" w:eastAsiaTheme="minorEastAsia" w:cstheme="minorEastAsia"/>
              </w:rPr>
            </w:pPr>
          </w:p>
        </w:tc>
        <w:tc>
          <w:tcPr>
            <w:tcW w:w="1000" w:type="pct"/>
          </w:tcPr>
          <w:p w14:paraId="49034C88">
            <w:pPr>
              <w:rPr>
                <w:rFonts w:hint="eastAsia" w:asciiTheme="minorEastAsia" w:hAnsiTheme="minorEastAsia" w:eastAsiaTheme="minorEastAsia" w:cstheme="minorEastAsia"/>
              </w:rPr>
            </w:pPr>
          </w:p>
        </w:tc>
        <w:tc>
          <w:tcPr>
            <w:tcW w:w="1000" w:type="pct"/>
          </w:tcPr>
          <w:p w14:paraId="66917DF7">
            <w:pPr>
              <w:rPr>
                <w:rFonts w:hint="eastAsia" w:asciiTheme="minorEastAsia" w:hAnsiTheme="minorEastAsia" w:eastAsiaTheme="minorEastAsia" w:cstheme="minorEastAsia"/>
              </w:rPr>
            </w:pPr>
          </w:p>
        </w:tc>
      </w:tr>
      <w:tr w14:paraId="53DF6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continue"/>
          </w:tcPr>
          <w:p w14:paraId="64DB2B10">
            <w:pPr>
              <w:rPr>
                <w:rFonts w:hint="eastAsia" w:asciiTheme="minorEastAsia" w:hAnsiTheme="minorEastAsia" w:eastAsiaTheme="minorEastAsia" w:cstheme="minorEastAsia"/>
              </w:rPr>
            </w:pPr>
          </w:p>
        </w:tc>
        <w:tc>
          <w:tcPr>
            <w:tcW w:w="1000" w:type="pct"/>
          </w:tcPr>
          <w:p w14:paraId="014C3F3E">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54AE5941">
            <w:pPr>
              <w:rPr>
                <w:rFonts w:hint="eastAsia" w:asciiTheme="minorEastAsia" w:hAnsiTheme="minorEastAsia" w:eastAsiaTheme="minorEastAsia" w:cstheme="minorEastAsia"/>
              </w:rPr>
            </w:pPr>
          </w:p>
        </w:tc>
        <w:tc>
          <w:tcPr>
            <w:tcW w:w="1000" w:type="pct"/>
          </w:tcPr>
          <w:p w14:paraId="0846CF3D">
            <w:pPr>
              <w:rPr>
                <w:rFonts w:hint="eastAsia" w:asciiTheme="minorEastAsia" w:hAnsiTheme="minorEastAsia" w:eastAsiaTheme="minorEastAsia" w:cstheme="minorEastAsia"/>
              </w:rPr>
            </w:pPr>
          </w:p>
        </w:tc>
        <w:tc>
          <w:tcPr>
            <w:tcW w:w="1000" w:type="pct"/>
          </w:tcPr>
          <w:p w14:paraId="0B26A555">
            <w:pPr>
              <w:rPr>
                <w:rFonts w:hint="eastAsia" w:asciiTheme="minorEastAsia" w:hAnsiTheme="minorEastAsia" w:eastAsiaTheme="minorEastAsia" w:cstheme="minorEastAsia"/>
              </w:rPr>
            </w:pPr>
          </w:p>
        </w:tc>
      </w:tr>
      <w:tr w14:paraId="2CC21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1DF07E5C">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24A6C604">
            <w:pPr>
              <w:rPr>
                <w:rFonts w:hint="eastAsia" w:asciiTheme="minorEastAsia" w:hAnsiTheme="minorEastAsia" w:eastAsiaTheme="minorEastAsia" w:cstheme="minorEastAsia"/>
              </w:rPr>
            </w:pPr>
          </w:p>
        </w:tc>
        <w:tc>
          <w:tcPr>
            <w:tcW w:w="1000" w:type="pct"/>
          </w:tcPr>
          <w:p w14:paraId="42B73F09">
            <w:pPr>
              <w:rPr>
                <w:rFonts w:hint="eastAsia" w:asciiTheme="minorEastAsia" w:hAnsiTheme="minorEastAsia" w:eastAsiaTheme="minorEastAsia" w:cstheme="minorEastAsia"/>
              </w:rPr>
            </w:pPr>
          </w:p>
        </w:tc>
        <w:tc>
          <w:tcPr>
            <w:tcW w:w="1000" w:type="pct"/>
          </w:tcPr>
          <w:p w14:paraId="267CCA7E">
            <w:pPr>
              <w:rPr>
                <w:rFonts w:hint="eastAsia" w:asciiTheme="minorEastAsia" w:hAnsiTheme="minorEastAsia" w:eastAsiaTheme="minorEastAsia" w:cstheme="minorEastAsia"/>
              </w:rPr>
            </w:pPr>
          </w:p>
        </w:tc>
        <w:tc>
          <w:tcPr>
            <w:tcW w:w="1000" w:type="pct"/>
          </w:tcPr>
          <w:p w14:paraId="3FAED688">
            <w:pPr>
              <w:rPr>
                <w:rFonts w:hint="eastAsia" w:asciiTheme="minorEastAsia" w:hAnsiTheme="minorEastAsia" w:eastAsiaTheme="minorEastAsia" w:cstheme="minorEastAsia"/>
              </w:rPr>
            </w:pPr>
          </w:p>
        </w:tc>
      </w:tr>
    </w:tbl>
    <w:p w14:paraId="54A14AA1">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9E16399">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5356464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14:paraId="757A8023">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633DA7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5FD1F22D">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3D48F617">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C8D4885">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63AA74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F59508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14:paraId="0B8C670B">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1991"/>
        <w:gridCol w:w="1992"/>
        <w:gridCol w:w="1992"/>
        <w:gridCol w:w="1992"/>
      </w:tblGrid>
      <w:tr w14:paraId="2531A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2B4B124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000" w:type="pct"/>
          </w:tcPr>
          <w:p w14:paraId="786F1D86">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000" w:type="pct"/>
          </w:tcPr>
          <w:p w14:paraId="291F2969">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000" w:type="pct"/>
          </w:tcPr>
          <w:p w14:paraId="5055A04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000" w:type="pct"/>
          </w:tcPr>
          <w:p w14:paraId="21427BE1">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6EB33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restart"/>
          </w:tcPr>
          <w:p w14:paraId="0ADE0193">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7EF6BF9A">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000" w:type="pct"/>
          </w:tcPr>
          <w:p w14:paraId="298F1AB8">
            <w:pPr>
              <w:rPr>
                <w:rFonts w:hint="eastAsia" w:asciiTheme="minorEastAsia" w:hAnsiTheme="minorEastAsia" w:eastAsiaTheme="minorEastAsia" w:cstheme="minorEastAsia"/>
              </w:rPr>
            </w:pPr>
          </w:p>
        </w:tc>
        <w:tc>
          <w:tcPr>
            <w:tcW w:w="1000" w:type="pct"/>
          </w:tcPr>
          <w:p w14:paraId="7C869CCC">
            <w:pPr>
              <w:rPr>
                <w:rFonts w:hint="eastAsia" w:asciiTheme="minorEastAsia" w:hAnsiTheme="minorEastAsia" w:eastAsiaTheme="minorEastAsia" w:cstheme="minorEastAsia"/>
              </w:rPr>
            </w:pPr>
          </w:p>
        </w:tc>
        <w:tc>
          <w:tcPr>
            <w:tcW w:w="1000" w:type="pct"/>
          </w:tcPr>
          <w:p w14:paraId="72272E5D">
            <w:pPr>
              <w:rPr>
                <w:rFonts w:hint="eastAsia" w:asciiTheme="minorEastAsia" w:hAnsiTheme="minorEastAsia" w:eastAsiaTheme="minorEastAsia" w:cstheme="minorEastAsia"/>
              </w:rPr>
            </w:pPr>
          </w:p>
        </w:tc>
      </w:tr>
      <w:tr w14:paraId="5A82F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continue"/>
          </w:tcPr>
          <w:p w14:paraId="6C4747A9">
            <w:pPr>
              <w:rPr>
                <w:rFonts w:hint="eastAsia" w:asciiTheme="minorEastAsia" w:hAnsiTheme="minorEastAsia" w:eastAsiaTheme="minorEastAsia" w:cstheme="minorEastAsia"/>
              </w:rPr>
            </w:pPr>
          </w:p>
        </w:tc>
        <w:tc>
          <w:tcPr>
            <w:tcW w:w="1000" w:type="pct"/>
          </w:tcPr>
          <w:p w14:paraId="78A941A8">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5CF01EA8">
            <w:pPr>
              <w:rPr>
                <w:rFonts w:hint="eastAsia" w:asciiTheme="minorEastAsia" w:hAnsiTheme="minorEastAsia" w:eastAsiaTheme="minorEastAsia" w:cstheme="minorEastAsia"/>
              </w:rPr>
            </w:pPr>
          </w:p>
        </w:tc>
        <w:tc>
          <w:tcPr>
            <w:tcW w:w="1000" w:type="pct"/>
          </w:tcPr>
          <w:p w14:paraId="69BE566F">
            <w:pPr>
              <w:rPr>
                <w:rFonts w:hint="eastAsia" w:asciiTheme="minorEastAsia" w:hAnsiTheme="minorEastAsia" w:eastAsiaTheme="minorEastAsia" w:cstheme="minorEastAsia"/>
              </w:rPr>
            </w:pPr>
          </w:p>
        </w:tc>
        <w:tc>
          <w:tcPr>
            <w:tcW w:w="1000" w:type="pct"/>
          </w:tcPr>
          <w:p w14:paraId="1CE396F3">
            <w:pPr>
              <w:rPr>
                <w:rFonts w:hint="eastAsia" w:asciiTheme="minorEastAsia" w:hAnsiTheme="minorEastAsia" w:eastAsiaTheme="minorEastAsia" w:cstheme="minorEastAsia"/>
              </w:rPr>
            </w:pPr>
          </w:p>
        </w:tc>
      </w:tr>
      <w:tr w14:paraId="42AC0F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493EDA42">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57B2715A">
            <w:pPr>
              <w:rPr>
                <w:rFonts w:hint="eastAsia" w:asciiTheme="minorEastAsia" w:hAnsiTheme="minorEastAsia" w:eastAsiaTheme="minorEastAsia" w:cstheme="minorEastAsia"/>
              </w:rPr>
            </w:pPr>
          </w:p>
        </w:tc>
        <w:tc>
          <w:tcPr>
            <w:tcW w:w="1000" w:type="pct"/>
          </w:tcPr>
          <w:p w14:paraId="4447DB64">
            <w:pPr>
              <w:rPr>
                <w:rFonts w:hint="eastAsia" w:asciiTheme="minorEastAsia" w:hAnsiTheme="minorEastAsia" w:eastAsiaTheme="minorEastAsia" w:cstheme="minorEastAsia"/>
              </w:rPr>
            </w:pPr>
          </w:p>
        </w:tc>
        <w:tc>
          <w:tcPr>
            <w:tcW w:w="1000" w:type="pct"/>
          </w:tcPr>
          <w:p w14:paraId="3DD4AF53">
            <w:pPr>
              <w:rPr>
                <w:rFonts w:hint="eastAsia" w:asciiTheme="minorEastAsia" w:hAnsiTheme="minorEastAsia" w:eastAsiaTheme="minorEastAsia" w:cstheme="minorEastAsia"/>
              </w:rPr>
            </w:pPr>
          </w:p>
        </w:tc>
        <w:tc>
          <w:tcPr>
            <w:tcW w:w="1000" w:type="pct"/>
          </w:tcPr>
          <w:p w14:paraId="0C632B1D">
            <w:pPr>
              <w:rPr>
                <w:rFonts w:hint="eastAsia" w:asciiTheme="minorEastAsia" w:hAnsiTheme="minorEastAsia" w:eastAsiaTheme="minorEastAsia" w:cstheme="minorEastAsia"/>
              </w:rPr>
            </w:pPr>
          </w:p>
        </w:tc>
      </w:tr>
    </w:tbl>
    <w:p w14:paraId="30BE8B5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AF70648">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3C441F3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14:paraId="6BB106AF">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14:paraId="1760B94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291340B6">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2BAFB1A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3819939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755A5E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3A21A5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14:paraId="27F5F832">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68BB8665">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14:paraId="1389B6D2">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14:paraId="4CC24C3C">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14:paraId="4679ED15">
      <w:pPr>
        <w:pStyle w:val="7"/>
        <w:rPr>
          <w:rFonts w:hint="eastAsia" w:asciiTheme="minorEastAsia" w:hAnsiTheme="minorEastAsia" w:eastAsiaTheme="minorEastAsia" w:cstheme="minorEastAsia"/>
          <w:lang w:val="en-US" w:eastAsia="zh-Hans"/>
        </w:rPr>
      </w:pPr>
    </w:p>
    <w:sectPr>
      <w:footerReference r:id="rId3"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DC45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D760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CD760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195E521C"/>
    <w:rsid w:val="22DD5719"/>
    <w:rsid w:val="384F0C8B"/>
    <w:rsid w:val="38B416AC"/>
    <w:rsid w:val="4DFF3163"/>
    <w:rsid w:val="53B52B8D"/>
    <w:rsid w:val="5DBE1A0D"/>
    <w:rsid w:val="64D832EF"/>
    <w:rsid w:val="74DD771F"/>
    <w:rsid w:val="77F79321"/>
    <w:rsid w:val="7DD24B1F"/>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qFormat/>
    <w:uiPriority w:val="0"/>
    <w:pPr>
      <w:widowControl w:val="0"/>
      <w:jc w:val="left"/>
    </w:pPr>
    <w:rPr>
      <w:rFonts w:asciiTheme="minorHAnsi" w:hAnsiTheme="minorHAnsi" w:eastAsiaTheme="minorEastAsia" w:cstheme="minorBidi"/>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1788</Words>
  <Characters>2022</Characters>
  <Lines>0</Lines>
  <Paragraphs>0</Paragraphs>
  <TotalTime>8</TotalTime>
  <ScaleCrop>false</ScaleCrop>
  <LinksUpToDate>false</LinksUpToDate>
  <CharactersWithSpaces>2052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WPS_1644419313</cp:lastModifiedBy>
  <dcterms:modified xsi:type="dcterms:W3CDTF">2026-09-21T02:58:17Z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6BD9F397E4EF4A1D85BE6CEB3931354A_13</vt:lpwstr>
  </property>
  <property fmtid="{D5CDD505-2E9C-101B-9397-08002B2CF9AE}" pid="4" name="KSOTemplateDocerSaveRecord">
    <vt:lpwstr>eyJoZGlkIjoiZTA2MmYwZTcyZTBjM2M4YTlhODM2MjM2OGU2ZjFlM2IiLCJ1c2VySWQiOiIxNDQzMjU1MzEyIn0=</vt:lpwstr>
  </property>
</Properties>
</file>