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A8DE">
      <w:pPr>
        <w:shd w:val="clear"/>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骨伤学院实时3D膝关节功能评估系统采购项目（货物）</w:t>
      </w:r>
    </w:p>
    <w:p w14:paraId="4A3638AD">
      <w:pPr>
        <w:shd w:val="clear"/>
        <w:jc w:val="center"/>
        <w:rPr>
          <w:rFonts w:hint="eastAsia" w:ascii="仿宋" w:hAnsi="仿宋" w:eastAsia="仿宋" w:cs="仿宋"/>
          <w:b/>
          <w:sz w:val="28"/>
          <w:szCs w:val="28"/>
          <w:lang w:val="en-US" w:eastAsia="zh-CN"/>
        </w:rPr>
      </w:pPr>
      <w:r>
        <w:rPr>
          <w:rFonts w:hint="eastAsia" w:ascii="仿宋" w:hAnsi="仿宋" w:eastAsia="仿宋" w:cs="仿宋"/>
          <w:b/>
          <w:sz w:val="28"/>
          <w:szCs w:val="28"/>
        </w:rPr>
        <w:t>最高限价：</w:t>
      </w:r>
      <w:r>
        <w:rPr>
          <w:rFonts w:hint="eastAsia" w:ascii="仿宋" w:hAnsi="仿宋" w:eastAsia="仿宋" w:cs="仿宋"/>
          <w:b/>
          <w:sz w:val="28"/>
          <w:szCs w:val="28"/>
          <w:lang w:val="en-US" w:eastAsia="zh-CN"/>
        </w:rPr>
        <w:t xml:space="preserve"> 113</w:t>
      </w:r>
      <w:r>
        <w:rPr>
          <w:rFonts w:hint="eastAsia" w:ascii="仿宋" w:hAnsi="仿宋" w:eastAsia="仿宋" w:cs="仿宋"/>
          <w:b/>
          <w:sz w:val="28"/>
          <w:szCs w:val="28"/>
        </w:rPr>
        <w:t>万元   招标方式：</w:t>
      </w:r>
      <w:r>
        <w:rPr>
          <w:rFonts w:hint="eastAsia" w:ascii="仿宋" w:hAnsi="仿宋" w:eastAsia="仿宋" w:cs="仿宋"/>
          <w:b/>
          <w:sz w:val="28"/>
          <w:szCs w:val="28"/>
          <w:lang w:val="en-US" w:eastAsia="zh-CN"/>
        </w:rPr>
        <w:t>公开招标</w:t>
      </w:r>
    </w:p>
    <w:p w14:paraId="72D1119C">
      <w:pPr>
        <w:shd w:val="clear"/>
        <w:spacing w:line="360" w:lineRule="auto"/>
        <w:rPr>
          <w:rFonts w:hint="eastAsia" w:ascii="仿宋" w:hAnsi="仿宋" w:eastAsia="仿宋" w:cs="仿宋"/>
          <w:b/>
          <w:sz w:val="21"/>
          <w:szCs w:val="21"/>
          <w:lang w:val="en-US" w:eastAsia="zh-CN"/>
        </w:rPr>
      </w:pPr>
      <w:r>
        <w:rPr>
          <w:rFonts w:hint="eastAsia" w:ascii="仿宋" w:hAnsi="仿宋" w:eastAsia="仿宋" w:cs="仿宋"/>
          <w:b/>
          <w:bCs/>
          <w:sz w:val="21"/>
          <w:szCs w:val="21"/>
          <w:lang w:val="en-US" w:eastAsia="zh-CN"/>
        </w:rPr>
        <w:t xml:space="preserve">合同包1：骨伤学院实时3D膝关节功能评估系统采购项目  </w:t>
      </w:r>
      <w:r>
        <w:rPr>
          <w:rFonts w:hint="eastAsia" w:ascii="仿宋" w:hAnsi="仿宋" w:eastAsia="仿宋" w:cs="仿宋"/>
          <w:b/>
          <w:bCs/>
          <w:sz w:val="21"/>
          <w:szCs w:val="21"/>
          <w:highlight w:val="none"/>
          <w:lang w:val="en-US" w:eastAsia="zh-CN"/>
        </w:rPr>
        <w:t xml:space="preserve">1台  </w:t>
      </w:r>
      <w:r>
        <w:rPr>
          <w:rFonts w:hint="eastAsia" w:ascii="仿宋" w:hAnsi="仿宋" w:eastAsia="仿宋" w:cs="仿宋"/>
          <w:b/>
          <w:sz w:val="21"/>
          <w:szCs w:val="21"/>
          <w:lang w:val="en-US" w:eastAsia="zh-CN"/>
        </w:rPr>
        <w:t xml:space="preserve"> </w:t>
      </w:r>
    </w:p>
    <w:p w14:paraId="514419E8">
      <w:pPr>
        <w:shd w:val="clear"/>
        <w:spacing w:line="360" w:lineRule="auto"/>
        <w:rPr>
          <w:rFonts w:hint="default" w:ascii="仿宋" w:hAnsi="仿宋" w:eastAsia="仿宋" w:cs="仿宋"/>
          <w:b/>
          <w:sz w:val="21"/>
          <w:szCs w:val="21"/>
          <w:lang w:val="en-US"/>
        </w:rPr>
      </w:pPr>
      <w:r>
        <w:rPr>
          <w:rFonts w:hint="eastAsia" w:ascii="仿宋" w:hAnsi="仿宋" w:eastAsia="仿宋" w:cs="仿宋"/>
          <w:b/>
          <w:bCs/>
          <w:sz w:val="21"/>
          <w:szCs w:val="21"/>
          <w:lang w:val="en-US" w:eastAsia="zh-CN"/>
        </w:rPr>
        <w:t xml:space="preserve">最高限价 113万元    综合评分法  价格35%  技术55%  商务10% </w:t>
      </w:r>
    </w:p>
    <w:p w14:paraId="4C581215">
      <w:pPr>
        <w:shd w:val="clear"/>
        <w:spacing w:line="360" w:lineRule="auto"/>
        <w:rPr>
          <w:rFonts w:hint="eastAsia" w:ascii="仿宋" w:hAnsi="仿宋" w:eastAsia="仿宋" w:cs="仿宋"/>
          <w:b/>
          <w:sz w:val="21"/>
          <w:szCs w:val="21"/>
        </w:rPr>
      </w:pPr>
      <w:r>
        <w:rPr>
          <w:rFonts w:hint="eastAsia" w:ascii="仿宋" w:hAnsi="仿宋" w:eastAsia="仿宋" w:cs="仿宋"/>
          <w:b/>
          <w:color w:val="auto"/>
          <w:sz w:val="21"/>
          <w:szCs w:val="21"/>
        </w:rPr>
        <w:t>核心设备：</w:t>
      </w:r>
      <w:r>
        <w:rPr>
          <w:rFonts w:hint="eastAsia" w:ascii="仿宋" w:hAnsi="仿宋" w:eastAsia="仿宋" w:cs="仿宋"/>
          <w:b/>
          <w:sz w:val="21"/>
          <w:szCs w:val="21"/>
        </w:rPr>
        <w:t xml:space="preserve"> </w:t>
      </w:r>
    </w:p>
    <w:p w14:paraId="3EEED198">
      <w:pPr>
        <w:shd w:val="clear"/>
        <w:spacing w:line="360" w:lineRule="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 xml:space="preserve">面向中小企业（否） </w:t>
      </w:r>
    </w:p>
    <w:p w14:paraId="31D6C705">
      <w:pPr>
        <w:shd w:val="clear"/>
        <w:spacing w:line="360" w:lineRule="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进口设备（是）</w:t>
      </w:r>
    </w:p>
    <w:p w14:paraId="561F938E">
      <w:pPr>
        <w:rPr>
          <w:rFonts w:hint="eastAsia" w:ascii="Times New Roman" w:hAnsi="Times New Roman" w:eastAsia="仿宋" w:cs="宋体"/>
          <w:b/>
          <w:color w:val="auto"/>
          <w:kern w:val="0"/>
          <w:szCs w:val="21"/>
        </w:rPr>
      </w:pPr>
      <w:r>
        <w:rPr>
          <w:rFonts w:hint="eastAsia" w:ascii="Times New Roman" w:hAnsi="Times New Roman" w:eastAsia="仿宋" w:cs="仿宋"/>
          <w:b/>
          <w:bCs w:val="0"/>
          <w:color w:val="000000"/>
          <w:kern w:val="0"/>
          <w:sz w:val="24"/>
          <w:szCs w:val="24"/>
          <w:highlight w:val="none"/>
          <w:lang w:val="en-US" w:eastAsia="zh-CN"/>
        </w:rPr>
        <w:t>一、技术参数：</w:t>
      </w:r>
    </w:p>
    <w:p w14:paraId="46F90125">
      <w:pPr>
        <w:widowControl/>
        <w:autoSpaceDE w:val="0"/>
        <w:autoSpaceDN w:val="0"/>
        <w:adjustRightInd w:val="0"/>
        <w:spacing w:line="360" w:lineRule="auto"/>
        <w:jc w:val="left"/>
        <w:rPr>
          <w:rFonts w:hint="eastAsia" w:eastAsia="仿宋" w:cs="仿宋"/>
          <w:b w:val="0"/>
          <w:bCs/>
          <w:color w:val="000000"/>
          <w:kern w:val="0"/>
          <w:szCs w:val="21"/>
          <w:highlight w:val="none"/>
          <w:lang w:val="en-US" w:eastAsia="zh-CN"/>
        </w:rPr>
      </w:pPr>
      <w:r>
        <w:rPr>
          <w:rFonts w:hint="eastAsia" w:eastAsia="仿宋" w:cs="仿宋"/>
          <w:b w:val="0"/>
          <w:bCs/>
          <w:color w:val="000000"/>
          <w:kern w:val="0"/>
          <w:szCs w:val="21"/>
          <w:highlight w:val="none"/>
          <w:lang w:val="en-US" w:eastAsia="zh-CN"/>
        </w:rPr>
        <w:t>1.可实时显示测试者膝关节在行走中的活动状态，测试完成后给出康复及改善方案。</w:t>
      </w:r>
    </w:p>
    <w:p w14:paraId="54077AA6">
      <w:pPr>
        <w:widowControl/>
        <w:autoSpaceDE w:val="0"/>
        <w:autoSpaceDN w:val="0"/>
        <w:adjustRightInd w:val="0"/>
        <w:spacing w:line="360" w:lineRule="auto"/>
        <w:jc w:val="left"/>
        <w:rPr>
          <w:rFonts w:hint="eastAsia" w:eastAsia="仿宋" w:cs="仿宋"/>
          <w:b w:val="0"/>
          <w:bCs/>
          <w:color w:val="000000"/>
          <w:kern w:val="0"/>
          <w:szCs w:val="21"/>
          <w:highlight w:val="none"/>
          <w:lang w:val="en-US" w:eastAsia="zh-CN"/>
        </w:rPr>
      </w:pPr>
      <w:r>
        <w:rPr>
          <w:rFonts w:hint="eastAsia" w:eastAsia="仿宋" w:cs="仿宋"/>
          <w:b w:val="0"/>
          <w:bCs/>
          <w:color w:val="000000"/>
          <w:kern w:val="0"/>
          <w:szCs w:val="21"/>
          <w:highlight w:val="none"/>
          <w:lang w:val="en-US" w:eastAsia="zh-CN"/>
        </w:rPr>
        <w:t>2.支持单次检测时长≥15分钟负重三维膝关节运动采集。</w:t>
      </w:r>
    </w:p>
    <w:p w14:paraId="3089F41B">
      <w:pPr>
        <w:numPr>
          <w:ilvl w:val="0"/>
          <w:numId w:val="0"/>
        </w:numPr>
        <w:spacing w:line="360" w:lineRule="auto"/>
        <w:rPr>
          <w:rFonts w:hint="default" w:eastAsia="仿宋" w:cs="仿宋"/>
          <w:b w:val="0"/>
          <w:bCs/>
          <w:color w:val="000000"/>
          <w:kern w:val="0"/>
          <w:szCs w:val="21"/>
          <w:highlight w:val="none"/>
          <w:lang w:val="en-US" w:eastAsia="zh-CN"/>
        </w:rPr>
      </w:pPr>
      <w:r>
        <w:rPr>
          <w:rFonts w:hint="eastAsia" w:eastAsia="仿宋" w:cs="仿宋"/>
          <w:b w:val="0"/>
          <w:bCs/>
          <w:color w:val="000000"/>
          <w:kern w:val="0"/>
          <w:szCs w:val="21"/>
          <w:highlight w:val="none"/>
          <w:lang w:val="en-US" w:eastAsia="zh-CN"/>
        </w:rPr>
        <w:t>3.采用体表标记物三维追踪技术，</w:t>
      </w:r>
      <w:r>
        <w:rPr>
          <w:rFonts w:hint="default" w:eastAsia="仿宋" w:cs="仿宋"/>
          <w:bCs/>
          <w:color w:val="000000"/>
          <w:kern w:val="0"/>
          <w:szCs w:val="21"/>
          <w:highlight w:val="none"/>
        </w:rPr>
        <w:t>通过测量和分析固定在外部装置标记物的3D位置和运动，</w:t>
      </w:r>
      <w:r>
        <w:rPr>
          <w:rFonts w:hint="eastAsia" w:eastAsia="仿宋" w:cs="仿宋"/>
          <w:b w:val="0"/>
          <w:bCs/>
          <w:color w:val="000000"/>
          <w:kern w:val="0"/>
          <w:szCs w:val="21"/>
          <w:highlight w:val="none"/>
          <w:lang w:val="en-US" w:eastAsia="zh-CN"/>
        </w:rPr>
        <w:t>捕捉患者膝关节三维空间位置与动态运动，量化输出膝关节运动生物力学数据</w:t>
      </w:r>
      <w:r>
        <w:rPr>
          <w:rFonts w:hint="default" w:eastAsia="仿宋" w:cs="仿宋"/>
          <w:bCs/>
          <w:color w:val="000000"/>
          <w:kern w:val="0"/>
          <w:szCs w:val="21"/>
          <w:highlight w:val="none"/>
        </w:rPr>
        <w:t>。</w:t>
      </w:r>
    </w:p>
    <w:p w14:paraId="3A6C8392">
      <w:pPr>
        <w:spacing w:line="360" w:lineRule="auto"/>
        <w:rPr>
          <w:rFonts w:hint="default" w:eastAsia="仿宋" w:cs="仿宋"/>
          <w:b w:val="0"/>
          <w:bCs/>
          <w:color w:val="000000"/>
          <w:kern w:val="0"/>
          <w:szCs w:val="21"/>
          <w:highlight w:val="none"/>
          <w:lang w:val="en-US" w:eastAsia="zh-CN"/>
        </w:rPr>
      </w:pPr>
      <w:r>
        <w:rPr>
          <w:rFonts w:hint="eastAsia" w:eastAsia="仿宋" w:cs="仿宋"/>
          <w:b w:val="0"/>
          <w:bCs/>
          <w:color w:val="000000"/>
          <w:kern w:val="0"/>
          <w:szCs w:val="21"/>
          <w:highlight w:val="none"/>
          <w:lang w:val="en-US" w:eastAsia="zh-CN"/>
        </w:rPr>
        <w:t>4.可对膝骨关节炎、髌股关节疼痛综合征、前交叉韧带损伤等患者膝关节进行功能评估。</w:t>
      </w:r>
    </w:p>
    <w:p w14:paraId="449A27FB">
      <w:pPr>
        <w:numPr>
          <w:ilvl w:val="0"/>
          <w:numId w:val="0"/>
        </w:numPr>
        <w:spacing w:line="360" w:lineRule="auto"/>
        <w:rPr>
          <w:rFonts w:hint="eastAsia" w:eastAsia="仿宋" w:cs="仿宋"/>
          <w:b w:val="0"/>
          <w:bCs/>
          <w:color w:val="000000"/>
          <w:kern w:val="0"/>
          <w:szCs w:val="21"/>
          <w:highlight w:val="none"/>
          <w:lang w:eastAsia="zh-CN"/>
        </w:rPr>
      </w:pPr>
      <w:r>
        <w:rPr>
          <w:rFonts w:hint="eastAsia" w:ascii="Times New Roman" w:hAnsi="Times New Roman" w:eastAsia="仿宋" w:cs="仿宋"/>
          <w:b w:val="0"/>
          <w:bCs/>
          <w:color w:val="000000"/>
          <w:kern w:val="0"/>
          <w:sz w:val="21"/>
          <w:szCs w:val="21"/>
          <w:lang w:val="en-US" w:eastAsia="zh-CN" w:bidi="ar-SA"/>
        </w:rPr>
        <w:t>5.</w:t>
      </w:r>
      <w:r>
        <w:rPr>
          <w:rFonts w:hint="eastAsia" w:eastAsia="仿宋" w:cs="仿宋"/>
          <w:b w:val="0"/>
          <w:bCs/>
          <w:color w:val="000000"/>
          <w:kern w:val="0"/>
          <w:szCs w:val="21"/>
          <w:highlight w:val="none"/>
          <w:lang w:val="en-US" w:eastAsia="zh-CN"/>
        </w:rPr>
        <w:t>可在分析基础数据的基础上形成KOA（膝骨关节炎）评估报告</w:t>
      </w:r>
      <w:r>
        <w:rPr>
          <w:rFonts w:hint="eastAsia" w:eastAsia="仿宋" w:cs="仿宋"/>
          <w:b w:val="0"/>
          <w:bCs/>
          <w:color w:val="000000"/>
          <w:kern w:val="0"/>
          <w:szCs w:val="21"/>
          <w:highlight w:val="none"/>
          <w:lang w:eastAsia="zh-CN"/>
        </w:rPr>
        <w:t>。</w:t>
      </w:r>
    </w:p>
    <w:p w14:paraId="1741306C">
      <w:pPr>
        <w:spacing w:line="360" w:lineRule="auto"/>
        <w:rPr>
          <w:rFonts w:hint="eastAsia" w:eastAsia="仿宋" w:cs="仿宋"/>
          <w:b w:val="0"/>
          <w:bCs/>
          <w:color w:val="000000"/>
          <w:kern w:val="0"/>
          <w:szCs w:val="21"/>
          <w:highlight w:val="none"/>
          <w:lang w:val="en-US" w:eastAsia="zh-CN"/>
        </w:rPr>
      </w:pPr>
      <w:r>
        <w:rPr>
          <w:rFonts w:hint="eastAsia" w:eastAsia="仿宋" w:cs="仿宋"/>
          <w:b w:val="0"/>
          <w:bCs/>
          <w:color w:val="000000"/>
          <w:kern w:val="0"/>
          <w:szCs w:val="21"/>
          <w:highlight w:val="none"/>
          <w:lang w:val="en-US" w:eastAsia="zh-CN"/>
        </w:rPr>
        <w:t>6.支持</w:t>
      </w:r>
      <w:r>
        <w:rPr>
          <w:rFonts w:hint="eastAsia" w:eastAsia="仿宋" w:cs="仿宋"/>
          <w:bCs/>
          <w:color w:val="000000"/>
          <w:kern w:val="0"/>
          <w:szCs w:val="21"/>
          <w:highlight w:val="none"/>
        </w:rPr>
        <w:t>融合成像功能</w:t>
      </w:r>
      <w:r>
        <w:rPr>
          <w:rFonts w:hint="eastAsia" w:eastAsia="仿宋" w:cs="仿宋"/>
          <w:bCs/>
          <w:color w:val="000000"/>
          <w:kern w:val="0"/>
          <w:szCs w:val="21"/>
          <w:highlight w:val="none"/>
          <w:lang w:eastAsia="zh-CN"/>
        </w:rPr>
        <w:t>，</w:t>
      </w:r>
      <w:r>
        <w:rPr>
          <w:rFonts w:hint="eastAsia" w:eastAsia="仿宋" w:cs="仿宋"/>
          <w:b w:val="0"/>
          <w:bCs/>
          <w:color w:val="000000"/>
          <w:kern w:val="0"/>
          <w:szCs w:val="21"/>
          <w:highlight w:val="none"/>
          <w:lang w:val="en-US" w:eastAsia="zh-CN"/>
        </w:rPr>
        <w:t>可在分析软件内结合测试者膝关节CT/MRI影像行三维重建，在软件中实时进行评估。</w:t>
      </w:r>
    </w:p>
    <w:p w14:paraId="370A9085">
      <w:pPr>
        <w:numPr>
          <w:ilvl w:val="0"/>
          <w:numId w:val="0"/>
        </w:num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7.</w:t>
      </w:r>
      <w:r>
        <w:rPr>
          <w:rFonts w:hint="eastAsia" w:ascii="Times New Roman" w:hAnsi="Times New Roman" w:eastAsia="仿宋" w:cs="仿宋"/>
          <w:b w:val="0"/>
          <w:bCs/>
          <w:color w:val="000000"/>
          <w:kern w:val="0"/>
          <w:szCs w:val="21"/>
          <w:highlight w:val="none"/>
          <w:lang w:eastAsia="zh-CN"/>
        </w:rPr>
        <w:t>配套膝关节外置追踪组件，含股骨、胫骨三维定位追踪模块。</w:t>
      </w:r>
    </w:p>
    <w:p w14:paraId="41AF3D60">
      <w:pPr>
        <w:numPr>
          <w:ilvl w:val="0"/>
          <w:numId w:val="0"/>
        </w:numPr>
        <w:spacing w:line="360" w:lineRule="auto"/>
        <w:rPr>
          <w:rFonts w:hint="eastAsia" w:eastAsia="仿宋" w:cs="仿宋"/>
          <w:b w:val="0"/>
          <w:bCs/>
          <w:color w:val="000000"/>
          <w:kern w:val="0"/>
          <w:szCs w:val="21"/>
          <w:highlight w:val="none"/>
          <w:lang w:val="en-US" w:eastAsia="zh-CN"/>
        </w:rPr>
      </w:pPr>
      <w:r>
        <w:rPr>
          <w:rFonts w:hint="eastAsia" w:ascii="Times New Roman" w:hAnsi="Times New Roman" w:eastAsia="仿宋" w:cs="仿宋"/>
          <w:b w:val="0"/>
          <w:bCs/>
          <w:color w:val="000000"/>
          <w:kern w:val="0"/>
          <w:szCs w:val="21"/>
          <w:highlight w:val="none"/>
          <w:lang w:eastAsia="zh-CN"/>
        </w:rPr>
        <w:t>8</w:t>
      </w:r>
      <w:r>
        <w:rPr>
          <w:rFonts w:hint="eastAsia" w:eastAsia="仿宋" w:cs="仿宋"/>
          <w:b w:val="0"/>
          <w:bCs/>
          <w:color w:val="000000"/>
          <w:kern w:val="0"/>
          <w:szCs w:val="21"/>
          <w:highlight w:val="none"/>
          <w:lang w:eastAsia="zh-CN"/>
        </w:rPr>
        <w:t>.</w:t>
      </w:r>
      <w:r>
        <w:rPr>
          <w:rFonts w:hint="eastAsia" w:eastAsia="仿宋" w:cs="仿宋"/>
          <w:b w:val="0"/>
          <w:bCs/>
          <w:color w:val="000000"/>
          <w:kern w:val="0"/>
          <w:szCs w:val="21"/>
          <w:highlight w:val="none"/>
          <w:lang w:val="en-US" w:eastAsia="zh-CN"/>
        </w:rPr>
        <w:t>可从膝关节原始3D运动数据中提取标记，包括屈/伸、内翻/外翻、胫骨内/外旋转。在测试过程中，显示三维骨骼模型，以便于实时分析和可视化关节运动（股骨-胫骨）。</w:t>
      </w:r>
    </w:p>
    <w:p w14:paraId="3F89D47E">
      <w:pPr>
        <w:spacing w:line="360" w:lineRule="auto"/>
        <w:rPr>
          <w:rFonts w:hint="eastAsia" w:eastAsia="仿宋" w:cs="仿宋"/>
          <w:b w:val="0"/>
          <w:bCs/>
          <w:color w:val="000000"/>
          <w:kern w:val="0"/>
          <w:szCs w:val="21"/>
          <w:highlight w:val="none"/>
          <w:lang w:val="en-US" w:eastAsia="zh-CN"/>
        </w:rPr>
      </w:pPr>
      <w:r>
        <w:rPr>
          <w:rFonts w:hint="eastAsia" w:ascii="Times New Roman" w:hAnsi="Times New Roman" w:eastAsia="仿宋" w:cs="仿宋"/>
          <w:b w:val="0"/>
          <w:bCs/>
          <w:color w:val="000000"/>
          <w:kern w:val="0"/>
          <w:szCs w:val="21"/>
          <w:highlight w:val="none"/>
          <w:lang w:eastAsia="zh-CN"/>
        </w:rPr>
        <w:t>9</w:t>
      </w:r>
      <w:r>
        <w:rPr>
          <w:rFonts w:hint="eastAsia" w:eastAsia="仿宋" w:cs="仿宋"/>
          <w:b w:val="0"/>
          <w:bCs/>
          <w:color w:val="000000"/>
          <w:kern w:val="0"/>
          <w:szCs w:val="21"/>
          <w:highlight w:val="none"/>
          <w:lang w:eastAsia="zh-CN"/>
        </w:rPr>
        <w:t>.</w:t>
      </w:r>
      <w:r>
        <w:rPr>
          <w:rFonts w:hint="eastAsia" w:eastAsia="仿宋" w:cs="仿宋"/>
          <w:b w:val="0"/>
          <w:bCs/>
          <w:color w:val="000000"/>
          <w:kern w:val="0"/>
          <w:szCs w:val="21"/>
          <w:highlight w:val="none"/>
          <w:lang w:val="en-US" w:eastAsia="zh-CN"/>
        </w:rPr>
        <w:t>支持外翻Valgus参数计算，至少包括：负重期外翻推力、静态功能性外翻对线、初次触地外翻对线、支撑相外翻对线。</w:t>
      </w:r>
    </w:p>
    <w:p w14:paraId="58E44A3C">
      <w:pPr>
        <w:spacing w:line="360" w:lineRule="auto"/>
        <w:rPr>
          <w:rFonts w:hint="eastAsia" w:eastAsia="仿宋" w:cs="仿宋"/>
          <w:b w:val="0"/>
          <w:bCs/>
          <w:color w:val="000000"/>
          <w:kern w:val="0"/>
          <w:szCs w:val="21"/>
          <w:highlight w:val="none"/>
          <w:lang w:val="en-US" w:eastAsia="zh-CN"/>
        </w:rPr>
      </w:pPr>
      <w:r>
        <w:rPr>
          <w:rFonts w:hint="eastAsia" w:ascii="Times New Roman" w:hAnsi="Times New Roman" w:eastAsia="仿宋" w:cs="仿宋"/>
          <w:b w:val="0"/>
          <w:bCs/>
          <w:color w:val="000000"/>
          <w:kern w:val="0"/>
          <w:szCs w:val="21"/>
          <w:highlight w:val="none"/>
          <w:lang w:eastAsia="zh-CN"/>
        </w:rPr>
        <w:t>10</w:t>
      </w:r>
      <w:r>
        <w:rPr>
          <w:rFonts w:hint="eastAsia" w:eastAsia="仿宋" w:cs="仿宋"/>
          <w:b w:val="0"/>
          <w:bCs/>
          <w:color w:val="000000"/>
          <w:kern w:val="0"/>
          <w:szCs w:val="21"/>
          <w:highlight w:val="none"/>
          <w:lang w:eastAsia="zh-CN"/>
        </w:rPr>
        <w:t>.</w:t>
      </w:r>
      <w:r>
        <w:rPr>
          <w:rFonts w:hint="eastAsia" w:eastAsia="仿宋" w:cs="仿宋"/>
          <w:b w:val="0"/>
          <w:bCs/>
          <w:color w:val="000000"/>
          <w:kern w:val="0"/>
          <w:szCs w:val="21"/>
          <w:highlight w:val="none"/>
          <w:lang w:val="en-US" w:eastAsia="zh-CN"/>
        </w:rPr>
        <w:t>支持内翻Varus参数计算，至少包括：负重期内翻推力、静态/触地/支撑相内翻对线分级。</w:t>
      </w:r>
    </w:p>
    <w:p w14:paraId="2642632D">
      <w:pPr>
        <w:spacing w:line="360" w:lineRule="auto"/>
        <w:rPr>
          <w:rFonts w:hint="eastAsia" w:eastAsia="仿宋" w:cs="仿宋"/>
          <w:b w:val="0"/>
          <w:bCs/>
          <w:color w:val="000000"/>
          <w:kern w:val="0"/>
          <w:szCs w:val="21"/>
          <w:highlight w:val="none"/>
          <w:lang w:val="en-US" w:eastAsia="zh-CN"/>
        </w:rPr>
      </w:pPr>
      <w:r>
        <w:rPr>
          <w:rFonts w:hint="eastAsia" w:eastAsia="仿宋" w:cs="仿宋"/>
          <w:b w:val="0"/>
          <w:bCs/>
          <w:color w:val="000000"/>
          <w:kern w:val="0"/>
          <w:szCs w:val="21"/>
          <w:highlight w:val="none"/>
          <w:lang w:val="en-US" w:eastAsia="zh-CN"/>
        </w:rPr>
        <w:t>11.支持矢状面屈伸动力学参数计算，包括：足跟触地动态屈膝挛缩、初次触地膝关节过伸、负重期屈曲活动受限、支撑相伸展活动受限。</w:t>
      </w:r>
    </w:p>
    <w:p w14:paraId="7CFB3857">
      <w:pPr>
        <w:spacing w:line="360" w:lineRule="auto"/>
        <w:rPr>
          <w:rFonts w:hint="eastAsia" w:eastAsia="仿宋" w:cs="仿宋"/>
          <w:b w:val="0"/>
          <w:bCs/>
          <w:color w:val="000000"/>
          <w:kern w:val="0"/>
          <w:szCs w:val="21"/>
          <w:highlight w:val="none"/>
          <w:lang w:val="en-US" w:eastAsia="zh-CN"/>
        </w:rPr>
      </w:pPr>
      <w:r>
        <w:rPr>
          <w:rFonts w:hint="eastAsia" w:ascii="Times New Roman" w:hAnsi="Times New Roman" w:eastAsia="仿宋" w:cs="仿宋"/>
          <w:b w:val="0"/>
          <w:bCs/>
          <w:color w:val="000000"/>
          <w:kern w:val="0"/>
          <w:szCs w:val="21"/>
          <w:highlight w:val="none"/>
          <w:lang w:eastAsia="zh-CN"/>
        </w:rPr>
        <w:t>12</w:t>
      </w:r>
      <w:r>
        <w:rPr>
          <w:rFonts w:hint="eastAsia" w:eastAsia="仿宋" w:cs="仿宋"/>
          <w:b w:val="0"/>
          <w:bCs/>
          <w:color w:val="000000"/>
          <w:kern w:val="0"/>
          <w:szCs w:val="21"/>
          <w:highlight w:val="none"/>
          <w:lang w:eastAsia="zh-CN"/>
        </w:rPr>
        <w:t>.</w:t>
      </w:r>
      <w:r>
        <w:rPr>
          <w:rFonts w:hint="eastAsia" w:eastAsia="仿宋" w:cs="仿宋"/>
          <w:b w:val="0"/>
          <w:bCs/>
          <w:color w:val="000000"/>
          <w:kern w:val="0"/>
          <w:szCs w:val="21"/>
          <w:highlight w:val="none"/>
          <w:lang w:val="en-US" w:eastAsia="zh-CN"/>
        </w:rPr>
        <w:t>支持横断面胫骨旋转参数：初次触地胫骨外旋、负重期胫骨相对股骨内旋。</w:t>
      </w:r>
    </w:p>
    <w:p w14:paraId="25629B69">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13.</w:t>
      </w:r>
      <w:r>
        <w:rPr>
          <w:rFonts w:hint="eastAsia" w:ascii="Times New Roman" w:hAnsi="Times New Roman" w:eastAsia="仿宋" w:cs="仿宋"/>
          <w:b w:val="0"/>
          <w:bCs/>
          <w:color w:val="000000"/>
          <w:kern w:val="0"/>
          <w:szCs w:val="21"/>
          <w:highlight w:val="none"/>
          <w:lang w:eastAsia="zh-CN"/>
        </w:rPr>
        <w:t>膝关节内外翻角度测量平均精度≤2°</w:t>
      </w:r>
      <w:r>
        <w:rPr>
          <w:rFonts w:hint="eastAsia" w:eastAsia="仿宋" w:cs="仿宋"/>
          <w:b w:val="0"/>
          <w:bCs/>
          <w:color w:val="000000"/>
          <w:kern w:val="0"/>
          <w:szCs w:val="21"/>
          <w:highlight w:val="none"/>
          <w:lang w:eastAsia="zh-CN"/>
        </w:rPr>
        <w:t>。</w:t>
      </w:r>
    </w:p>
    <w:p w14:paraId="6EF17B1C">
      <w:pPr>
        <w:spacing w:line="360" w:lineRule="auto"/>
        <w:rPr>
          <w:rFonts w:hint="eastAsia" w:ascii="Times New Roman" w:hAnsi="Times New Roman" w:eastAsia="仿宋" w:cs="仿宋"/>
          <w:b w:val="0"/>
          <w:bCs/>
          <w:color w:val="000000"/>
          <w:kern w:val="0"/>
          <w:szCs w:val="21"/>
          <w:highlight w:val="none"/>
          <w:lang w:eastAsia="zh-CN"/>
        </w:rPr>
      </w:pPr>
      <w:r>
        <w:rPr>
          <w:rFonts w:hint="eastAsia" w:ascii="Times New Roman" w:hAnsi="Times New Roman" w:eastAsia="仿宋" w:cs="仿宋"/>
          <w:b w:val="0"/>
          <w:bCs/>
          <w:color w:val="000000"/>
          <w:kern w:val="0"/>
          <w:szCs w:val="21"/>
          <w:highlight w:val="none"/>
          <w:lang w:eastAsia="zh-CN"/>
        </w:rPr>
        <w:t>14</w:t>
      </w:r>
      <w:r>
        <w:rPr>
          <w:rFonts w:hint="eastAsia" w:eastAsia="仿宋" w:cs="仿宋"/>
          <w:b w:val="0"/>
          <w:bCs/>
          <w:color w:val="000000"/>
          <w:kern w:val="0"/>
          <w:szCs w:val="21"/>
          <w:highlight w:val="none"/>
          <w:lang w:eastAsia="zh-CN"/>
        </w:rPr>
        <w:t>.</w:t>
      </w:r>
      <w:r>
        <w:rPr>
          <w:rFonts w:hint="eastAsia" w:ascii="Times New Roman" w:hAnsi="Times New Roman" w:eastAsia="仿宋" w:cs="仿宋"/>
          <w:b w:val="0"/>
          <w:bCs/>
          <w:color w:val="000000"/>
          <w:kern w:val="0"/>
          <w:szCs w:val="21"/>
          <w:highlight w:val="none"/>
          <w:lang w:eastAsia="zh-CN"/>
        </w:rPr>
        <w:t>膝关节屈伸活动角度测量平均精度≤3°</w:t>
      </w:r>
      <w:r>
        <w:rPr>
          <w:rFonts w:hint="eastAsia" w:eastAsia="仿宋" w:cs="仿宋"/>
          <w:b w:val="0"/>
          <w:bCs/>
          <w:color w:val="000000"/>
          <w:kern w:val="0"/>
          <w:szCs w:val="21"/>
          <w:highlight w:val="none"/>
          <w:lang w:eastAsia="zh-CN"/>
        </w:rPr>
        <w:t>。</w:t>
      </w:r>
    </w:p>
    <w:p w14:paraId="65691BA2">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15.</w:t>
      </w:r>
      <w:r>
        <w:rPr>
          <w:rFonts w:hint="eastAsia" w:ascii="Times New Roman" w:hAnsi="Times New Roman" w:eastAsia="仿宋" w:cs="仿宋"/>
          <w:b w:val="0"/>
          <w:bCs/>
          <w:color w:val="000000"/>
          <w:kern w:val="0"/>
          <w:szCs w:val="21"/>
          <w:highlight w:val="none"/>
          <w:lang w:eastAsia="zh-CN"/>
        </w:rPr>
        <w:t>膝关节前后向平移测量平均精度≤3.0mm</w:t>
      </w:r>
      <w:r>
        <w:rPr>
          <w:rFonts w:hint="eastAsia" w:eastAsia="仿宋" w:cs="仿宋"/>
          <w:b w:val="0"/>
          <w:bCs/>
          <w:color w:val="000000"/>
          <w:kern w:val="0"/>
          <w:szCs w:val="21"/>
          <w:highlight w:val="none"/>
          <w:lang w:eastAsia="zh-CN"/>
        </w:rPr>
        <w:t>。</w:t>
      </w:r>
    </w:p>
    <w:p w14:paraId="7CD82ADD">
      <w:pPr>
        <w:spacing w:line="360" w:lineRule="auto"/>
        <w:rPr>
          <w:rFonts w:hint="eastAsia" w:ascii="Times New Roman" w:hAnsi="Times New Roman" w:eastAsia="仿宋" w:cs="仿宋"/>
          <w:b w:val="0"/>
          <w:bCs/>
          <w:color w:val="000000"/>
          <w:kern w:val="0"/>
          <w:szCs w:val="21"/>
          <w:highlight w:val="none"/>
          <w:lang w:eastAsia="zh-CN"/>
        </w:rPr>
      </w:pPr>
      <w:bookmarkStart w:id="0" w:name="_GoBack"/>
      <w:bookmarkEnd w:id="0"/>
      <w:r>
        <w:rPr>
          <w:rFonts w:hint="eastAsia" w:eastAsia="仿宋" w:cs="仿宋"/>
          <w:b w:val="0"/>
          <w:bCs/>
          <w:color w:val="000000"/>
          <w:kern w:val="0"/>
          <w:szCs w:val="21"/>
          <w:highlight w:val="none"/>
          <w:lang w:val="en-US" w:eastAsia="zh-CN"/>
        </w:rPr>
        <w:t>16.</w:t>
      </w:r>
      <w:r>
        <w:rPr>
          <w:rFonts w:hint="eastAsia" w:ascii="Times New Roman" w:hAnsi="Times New Roman" w:eastAsia="仿宋" w:cs="仿宋"/>
          <w:b w:val="0"/>
          <w:bCs/>
          <w:color w:val="000000"/>
          <w:kern w:val="0"/>
          <w:szCs w:val="21"/>
          <w:highlight w:val="none"/>
          <w:lang w:eastAsia="zh-CN"/>
        </w:rPr>
        <w:t>膝关节轴向平移测量平均精度≤2mm</w:t>
      </w:r>
      <w:r>
        <w:rPr>
          <w:rFonts w:hint="eastAsia" w:eastAsia="仿宋" w:cs="仿宋"/>
          <w:b w:val="0"/>
          <w:bCs/>
          <w:color w:val="000000"/>
          <w:kern w:val="0"/>
          <w:szCs w:val="21"/>
          <w:highlight w:val="none"/>
          <w:lang w:eastAsia="zh-CN"/>
        </w:rPr>
        <w:t>。</w:t>
      </w:r>
    </w:p>
    <w:p w14:paraId="39E17B70">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17.</w:t>
      </w:r>
      <w:r>
        <w:rPr>
          <w:rFonts w:hint="eastAsia" w:ascii="Times New Roman" w:hAnsi="Times New Roman" w:eastAsia="仿宋" w:cs="仿宋"/>
          <w:b w:val="0"/>
          <w:bCs/>
          <w:color w:val="000000"/>
          <w:kern w:val="0"/>
          <w:szCs w:val="21"/>
          <w:highlight w:val="none"/>
          <w:lang w:eastAsia="zh-CN"/>
        </w:rPr>
        <w:t>测量可靠性的组内相关系数(ICC)-屈/伸：≥0.92</w:t>
      </w:r>
      <w:r>
        <w:rPr>
          <w:rFonts w:hint="eastAsia" w:eastAsia="仿宋" w:cs="仿宋"/>
          <w:b w:val="0"/>
          <w:bCs/>
          <w:color w:val="000000"/>
          <w:kern w:val="0"/>
          <w:szCs w:val="21"/>
          <w:highlight w:val="none"/>
          <w:lang w:eastAsia="zh-CN"/>
        </w:rPr>
        <w:t>。</w:t>
      </w:r>
    </w:p>
    <w:p w14:paraId="6EEE09DE">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18.</w:t>
      </w:r>
      <w:r>
        <w:rPr>
          <w:rFonts w:hint="eastAsia" w:ascii="Times New Roman" w:hAnsi="Times New Roman" w:eastAsia="仿宋" w:cs="仿宋"/>
          <w:b w:val="0"/>
          <w:bCs/>
          <w:color w:val="000000"/>
          <w:kern w:val="0"/>
          <w:szCs w:val="21"/>
          <w:highlight w:val="none"/>
          <w:lang w:eastAsia="zh-CN"/>
        </w:rPr>
        <w:t>测量可靠性的组内相关系数(ICC)-外展/内收：≥0.94</w:t>
      </w:r>
      <w:r>
        <w:rPr>
          <w:rFonts w:hint="eastAsia" w:eastAsia="仿宋" w:cs="仿宋"/>
          <w:b w:val="0"/>
          <w:bCs/>
          <w:color w:val="000000"/>
          <w:kern w:val="0"/>
          <w:szCs w:val="21"/>
          <w:highlight w:val="none"/>
          <w:lang w:eastAsia="zh-CN"/>
        </w:rPr>
        <w:t>。</w:t>
      </w:r>
    </w:p>
    <w:p w14:paraId="05A8A169">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19.</w:t>
      </w:r>
      <w:r>
        <w:rPr>
          <w:rFonts w:hint="eastAsia" w:ascii="Times New Roman" w:hAnsi="Times New Roman" w:eastAsia="仿宋" w:cs="仿宋"/>
          <w:b w:val="0"/>
          <w:bCs/>
          <w:color w:val="000000"/>
          <w:kern w:val="0"/>
          <w:szCs w:val="21"/>
          <w:highlight w:val="none"/>
          <w:lang w:eastAsia="zh-CN"/>
        </w:rPr>
        <w:t>测量可靠性的组内相关系数(ICC)-胫骨内旋/外旋：≥0.88。</w:t>
      </w:r>
    </w:p>
    <w:p w14:paraId="44F004B2">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20.</w:t>
      </w:r>
      <w:r>
        <w:rPr>
          <w:rFonts w:hint="eastAsia" w:ascii="Times New Roman" w:hAnsi="Times New Roman" w:eastAsia="仿宋" w:cs="仿宋"/>
          <w:b w:val="0"/>
          <w:bCs/>
          <w:color w:val="000000"/>
          <w:kern w:val="0"/>
          <w:szCs w:val="21"/>
          <w:highlight w:val="none"/>
          <w:lang w:eastAsia="zh-CN"/>
        </w:rPr>
        <w:t>可评估膝关节在矢状面、额状面和水平面的运动信息，包括，①骨骼复杂动作（旋转、平移、速度）；②韧带、半月板、肌腱的功能损伤对力学的影响；③软骨状况；④膝关节协调性与稳定性；⑤治疗前后（如手术、药物）的3D生物力学变化。</w:t>
      </w:r>
    </w:p>
    <w:p w14:paraId="5EA89BCD">
      <w:pPr>
        <w:spacing w:line="360" w:lineRule="auto"/>
        <w:rPr>
          <w:rFonts w:hint="eastAsia" w:ascii="Times New Roman" w:hAnsi="Times New Roman" w:eastAsia="仿宋" w:cs="仿宋"/>
          <w:b w:val="0"/>
          <w:bCs/>
          <w:color w:val="000000"/>
          <w:kern w:val="0"/>
          <w:szCs w:val="21"/>
          <w:highlight w:val="none"/>
          <w:lang w:eastAsia="zh-CN"/>
        </w:rPr>
      </w:pPr>
      <w:r>
        <w:rPr>
          <w:rFonts w:hint="eastAsia" w:eastAsia="仿宋" w:cs="仿宋"/>
          <w:b w:val="0"/>
          <w:bCs/>
          <w:color w:val="000000"/>
          <w:kern w:val="0"/>
          <w:szCs w:val="21"/>
          <w:highlight w:val="none"/>
          <w:lang w:val="en-US" w:eastAsia="zh-CN"/>
        </w:rPr>
        <w:t>21.可配备三维非接触式全身骨关节运动捕捉系统，可精准捕捉C2-C7颈椎屈伸与扭转动态，颈椎体表测算角度与X光骨性角度拟合度R≥0.94，胸腰椎T3-S1运动干扰相关系数R≤0.3；采集解算频率可随4K模式自适应切换为30Hz/60Hz，适用于下蹲、行走、单腿负重等膝关节生物力学试验，能够自定义躯干代偿、膝关节异常受力等姿态阈值，出现疲劳代偿动作时实时输出数据图表并进行干预，有效消除上躯干晃动对膝关节测试数据的干扰。</w:t>
      </w:r>
    </w:p>
    <w:p w14:paraId="639DE7BD">
      <w:pPr>
        <w:numPr>
          <w:ilvl w:val="0"/>
          <w:numId w:val="1"/>
        </w:numPr>
        <w:spacing w:line="360" w:lineRule="auto"/>
        <w:rPr>
          <w:rFonts w:hint="default"/>
          <w:lang w:val="en-US" w:eastAsia="zh-CN"/>
        </w:rPr>
      </w:pPr>
      <w:r>
        <w:rPr>
          <w:rFonts w:hint="eastAsia" w:eastAsia="仿宋" w:cs="仿宋"/>
          <w:b/>
          <w:sz w:val="24"/>
          <w:highlight w:val="none"/>
          <w:lang w:val="en-US" w:eastAsia="zh-CN"/>
        </w:rPr>
        <w:t xml:space="preserve">配置清单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6518"/>
        <w:gridCol w:w="1244"/>
      </w:tblGrid>
      <w:tr w14:paraId="3BE1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5F846AAD">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序号</w:t>
            </w:r>
          </w:p>
        </w:tc>
        <w:tc>
          <w:tcPr>
            <w:tcW w:w="6589" w:type="dxa"/>
            <w:noWrap w:val="0"/>
            <w:vAlign w:val="top"/>
          </w:tcPr>
          <w:p w14:paraId="6C5A85B4">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名称</w:t>
            </w:r>
          </w:p>
        </w:tc>
        <w:tc>
          <w:tcPr>
            <w:tcW w:w="1253" w:type="dxa"/>
            <w:noWrap w:val="0"/>
            <w:vAlign w:val="top"/>
          </w:tcPr>
          <w:p w14:paraId="2B883147">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数量</w:t>
            </w:r>
          </w:p>
        </w:tc>
      </w:tr>
      <w:tr w14:paraId="273A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5A9D30D0">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1</w:t>
            </w:r>
          </w:p>
        </w:tc>
        <w:tc>
          <w:tcPr>
            <w:tcW w:w="6589" w:type="dxa"/>
            <w:noWrap w:val="0"/>
            <w:vAlign w:val="top"/>
          </w:tcPr>
          <w:p w14:paraId="5BBF1FCD">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 xml:space="preserve">设备主体 </w:t>
            </w:r>
          </w:p>
        </w:tc>
        <w:tc>
          <w:tcPr>
            <w:tcW w:w="1253" w:type="dxa"/>
            <w:noWrap w:val="0"/>
            <w:vAlign w:val="top"/>
          </w:tcPr>
          <w:p w14:paraId="5006644B">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1台</w:t>
            </w:r>
          </w:p>
        </w:tc>
      </w:tr>
      <w:tr w14:paraId="14C7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1D0106E1">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2</w:t>
            </w:r>
          </w:p>
        </w:tc>
        <w:tc>
          <w:tcPr>
            <w:tcW w:w="6589" w:type="dxa"/>
            <w:noWrap w:val="0"/>
            <w:vAlign w:val="top"/>
          </w:tcPr>
          <w:p w14:paraId="432A8D4F">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笔记本电脑</w:t>
            </w:r>
          </w:p>
        </w:tc>
        <w:tc>
          <w:tcPr>
            <w:tcW w:w="1253" w:type="dxa"/>
            <w:noWrap w:val="0"/>
            <w:vAlign w:val="top"/>
          </w:tcPr>
          <w:p w14:paraId="17C92A81">
            <w:pPr>
              <w:widowControl/>
              <w:spacing w:line="360" w:lineRule="auto"/>
              <w:jc w:val="left"/>
              <w:rPr>
                <w:rFonts w:hint="eastAsia" w:ascii="仿宋" w:hAnsi="仿宋" w:eastAsia="仿宋" w:cs="仿宋"/>
                <w:b/>
                <w:sz w:val="24"/>
                <w:highlight w:val="none"/>
                <w:vertAlign w:val="baseline"/>
                <w:lang w:val="en-US" w:eastAsia="zh-CN"/>
              </w:rPr>
            </w:pPr>
            <w:r>
              <w:rPr>
                <w:rFonts w:hint="eastAsia" w:ascii="仿宋" w:hAnsi="仿宋" w:eastAsia="仿宋" w:cs="仿宋"/>
                <w:color w:val="000000"/>
                <w:kern w:val="0"/>
              </w:rPr>
              <w:t>1套</w:t>
            </w:r>
          </w:p>
        </w:tc>
      </w:tr>
      <w:tr w14:paraId="6E67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617AC6A8">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3</w:t>
            </w:r>
          </w:p>
        </w:tc>
        <w:tc>
          <w:tcPr>
            <w:tcW w:w="6589" w:type="dxa"/>
            <w:noWrap w:val="0"/>
            <w:vAlign w:val="top"/>
          </w:tcPr>
          <w:p w14:paraId="427F9AD6">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专业采集分析软件套件</w:t>
            </w:r>
          </w:p>
        </w:tc>
        <w:tc>
          <w:tcPr>
            <w:tcW w:w="1253" w:type="dxa"/>
            <w:noWrap w:val="0"/>
            <w:vAlign w:val="top"/>
          </w:tcPr>
          <w:p w14:paraId="0FFA05D5">
            <w:pPr>
              <w:widowControl/>
              <w:spacing w:line="360" w:lineRule="auto"/>
              <w:jc w:val="left"/>
              <w:rPr>
                <w:rFonts w:hint="eastAsia" w:ascii="仿宋" w:hAnsi="仿宋" w:eastAsia="仿宋" w:cs="仿宋"/>
                <w:b/>
                <w:sz w:val="24"/>
                <w:highlight w:val="none"/>
                <w:vertAlign w:val="baseline"/>
                <w:lang w:val="en-US" w:eastAsia="zh-CN"/>
              </w:rPr>
            </w:pPr>
            <w:r>
              <w:rPr>
                <w:rFonts w:hint="eastAsia" w:ascii="仿宋" w:hAnsi="仿宋" w:eastAsia="仿宋" w:cs="仿宋"/>
                <w:color w:val="000000"/>
                <w:kern w:val="0"/>
              </w:rPr>
              <w:t>1套</w:t>
            </w:r>
          </w:p>
        </w:tc>
      </w:tr>
      <w:tr w14:paraId="2E62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44EE3A28">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4</w:t>
            </w:r>
          </w:p>
        </w:tc>
        <w:tc>
          <w:tcPr>
            <w:tcW w:w="6589" w:type="dxa"/>
            <w:noWrap w:val="0"/>
            <w:vAlign w:val="top"/>
          </w:tcPr>
          <w:p w14:paraId="1029C8D2">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设备基础装配组件</w:t>
            </w:r>
          </w:p>
        </w:tc>
        <w:tc>
          <w:tcPr>
            <w:tcW w:w="1253" w:type="dxa"/>
            <w:noWrap w:val="0"/>
            <w:vAlign w:val="top"/>
          </w:tcPr>
          <w:p w14:paraId="2FFAA020">
            <w:pPr>
              <w:widowControl/>
              <w:spacing w:line="360" w:lineRule="auto"/>
              <w:jc w:val="left"/>
              <w:rPr>
                <w:rFonts w:hint="eastAsia" w:ascii="仿宋" w:hAnsi="仿宋" w:eastAsia="仿宋" w:cs="仿宋"/>
                <w:b/>
                <w:sz w:val="24"/>
                <w:highlight w:val="none"/>
                <w:vertAlign w:val="baseline"/>
                <w:lang w:val="en-US" w:eastAsia="zh-CN"/>
              </w:rPr>
            </w:pPr>
            <w:r>
              <w:rPr>
                <w:rFonts w:hint="eastAsia" w:ascii="仿宋" w:hAnsi="仿宋" w:eastAsia="仿宋" w:cs="仿宋"/>
                <w:color w:val="000000"/>
                <w:kern w:val="0"/>
              </w:rPr>
              <w:t>1套</w:t>
            </w:r>
          </w:p>
        </w:tc>
      </w:tr>
      <w:tr w14:paraId="661A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2FD5E440">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5</w:t>
            </w:r>
          </w:p>
        </w:tc>
        <w:tc>
          <w:tcPr>
            <w:tcW w:w="6589" w:type="dxa"/>
            <w:noWrap w:val="0"/>
            <w:vAlign w:val="top"/>
          </w:tcPr>
          <w:p w14:paraId="45A60ECF">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红外光学定位相机</w:t>
            </w:r>
          </w:p>
        </w:tc>
        <w:tc>
          <w:tcPr>
            <w:tcW w:w="1253" w:type="dxa"/>
            <w:noWrap w:val="0"/>
            <w:vAlign w:val="top"/>
          </w:tcPr>
          <w:p w14:paraId="0B6BC4D1">
            <w:pPr>
              <w:widowControl/>
              <w:spacing w:line="360" w:lineRule="auto"/>
              <w:jc w:val="left"/>
              <w:rPr>
                <w:rFonts w:hint="eastAsia" w:ascii="仿宋" w:hAnsi="仿宋" w:eastAsia="仿宋" w:cs="仿宋"/>
                <w:b/>
                <w:sz w:val="24"/>
                <w:highlight w:val="none"/>
                <w:vertAlign w:val="baseline"/>
                <w:lang w:val="en-US" w:eastAsia="zh-CN"/>
              </w:rPr>
            </w:pPr>
            <w:r>
              <w:rPr>
                <w:rFonts w:hint="eastAsia" w:ascii="仿宋" w:hAnsi="仿宋" w:eastAsia="仿宋" w:cs="仿宋"/>
                <w:color w:val="000000"/>
                <w:kern w:val="0"/>
              </w:rPr>
              <w:t>1套</w:t>
            </w:r>
          </w:p>
        </w:tc>
      </w:tr>
      <w:tr w14:paraId="430C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1DD3FEE8">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6</w:t>
            </w:r>
          </w:p>
        </w:tc>
        <w:tc>
          <w:tcPr>
            <w:tcW w:w="6589" w:type="dxa"/>
            <w:noWrap w:val="0"/>
            <w:vAlign w:val="top"/>
          </w:tcPr>
          <w:p w14:paraId="52DCFA52">
            <w:pPr>
              <w:widowControl/>
              <w:spacing w:line="360" w:lineRule="auto"/>
              <w:jc w:val="left"/>
              <w:rPr>
                <w:rFonts w:hint="eastAsia" w:ascii="仿宋" w:hAnsi="仿宋" w:eastAsia="仿宋" w:cs="仿宋"/>
                <w:color w:val="000000"/>
                <w:kern w:val="0"/>
              </w:rPr>
            </w:pPr>
            <w:r>
              <w:rPr>
                <w:rFonts w:hint="eastAsia" w:eastAsia="仿宋" w:cs="仿宋"/>
                <w:bCs/>
                <w:color w:val="000000"/>
                <w:kern w:val="0"/>
                <w:szCs w:val="21"/>
                <w:highlight w:val="none"/>
              </w:rPr>
              <w:t>缓冲衬垫</w:t>
            </w:r>
          </w:p>
        </w:tc>
        <w:tc>
          <w:tcPr>
            <w:tcW w:w="1253" w:type="dxa"/>
            <w:noWrap w:val="0"/>
            <w:vAlign w:val="top"/>
          </w:tcPr>
          <w:p w14:paraId="3941EF6C">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1台</w:t>
            </w:r>
          </w:p>
        </w:tc>
      </w:tr>
      <w:tr w14:paraId="6DB2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5818B578">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7</w:t>
            </w:r>
          </w:p>
        </w:tc>
        <w:tc>
          <w:tcPr>
            <w:tcW w:w="6589" w:type="dxa"/>
            <w:noWrap w:val="0"/>
            <w:vAlign w:val="top"/>
          </w:tcPr>
          <w:p w14:paraId="050A6B80">
            <w:pPr>
              <w:widowControl/>
              <w:spacing w:line="360" w:lineRule="auto"/>
              <w:jc w:val="left"/>
              <w:rPr>
                <w:rFonts w:hint="eastAsia" w:ascii="仿宋" w:hAnsi="仿宋" w:eastAsia="仿宋" w:cs="仿宋"/>
                <w:color w:val="000000"/>
                <w:kern w:val="0"/>
              </w:rPr>
            </w:pPr>
            <w:r>
              <w:rPr>
                <w:rFonts w:hint="eastAsia" w:eastAsia="仿宋" w:cs="仿宋"/>
                <w:bCs/>
                <w:color w:val="000000"/>
                <w:kern w:val="0"/>
                <w:szCs w:val="21"/>
                <w:highlight w:val="none"/>
              </w:rPr>
              <w:t>固定腰带</w:t>
            </w:r>
          </w:p>
        </w:tc>
        <w:tc>
          <w:tcPr>
            <w:tcW w:w="1253" w:type="dxa"/>
            <w:noWrap w:val="0"/>
            <w:vAlign w:val="top"/>
          </w:tcPr>
          <w:p w14:paraId="43C25B7B">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lang w:val="en-US" w:eastAsia="zh-CN"/>
              </w:rPr>
              <w:t>1</w:t>
            </w:r>
            <w:r>
              <w:rPr>
                <w:rFonts w:hint="eastAsia" w:eastAsia="仿宋" w:cs="仿宋"/>
                <w:bCs/>
                <w:color w:val="000000"/>
                <w:kern w:val="0"/>
                <w:szCs w:val="21"/>
                <w:highlight w:val="none"/>
              </w:rPr>
              <w:t>条</w:t>
            </w:r>
          </w:p>
        </w:tc>
      </w:tr>
      <w:tr w14:paraId="7ED0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63339747">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8</w:t>
            </w:r>
          </w:p>
        </w:tc>
        <w:tc>
          <w:tcPr>
            <w:tcW w:w="6589" w:type="dxa"/>
            <w:noWrap w:val="0"/>
            <w:vAlign w:val="top"/>
          </w:tcPr>
          <w:p w14:paraId="2FB403F8">
            <w:pPr>
              <w:widowControl/>
              <w:spacing w:line="360" w:lineRule="auto"/>
              <w:jc w:val="left"/>
              <w:rPr>
                <w:rFonts w:hint="eastAsia" w:ascii="仿宋" w:hAnsi="仿宋" w:eastAsia="仿宋" w:cs="仿宋"/>
                <w:color w:val="000000"/>
                <w:kern w:val="0"/>
              </w:rPr>
            </w:pPr>
            <w:r>
              <w:rPr>
                <w:rFonts w:hint="eastAsia" w:eastAsia="仿宋" w:cs="仿宋"/>
                <w:bCs/>
                <w:color w:val="000000"/>
                <w:kern w:val="0"/>
                <w:szCs w:val="21"/>
                <w:highlight w:val="none"/>
              </w:rPr>
              <w:t>绑带</w:t>
            </w:r>
          </w:p>
        </w:tc>
        <w:tc>
          <w:tcPr>
            <w:tcW w:w="1253" w:type="dxa"/>
            <w:noWrap w:val="0"/>
            <w:vAlign w:val="top"/>
          </w:tcPr>
          <w:p w14:paraId="18C25D48">
            <w:pPr>
              <w:widowControl/>
              <w:spacing w:line="360" w:lineRule="auto"/>
              <w:jc w:val="left"/>
              <w:rPr>
                <w:rFonts w:hint="eastAsia" w:ascii="仿宋" w:hAnsi="仿宋" w:eastAsia="仿宋" w:cs="仿宋"/>
                <w:b/>
                <w:sz w:val="24"/>
                <w:highlight w:val="none"/>
                <w:vertAlign w:val="baseline"/>
                <w:lang w:val="en-US" w:eastAsia="zh-CN"/>
              </w:rPr>
            </w:pPr>
            <w:r>
              <w:rPr>
                <w:rFonts w:hint="eastAsia" w:eastAsia="仿宋" w:cs="仿宋"/>
                <w:bCs/>
                <w:color w:val="000000"/>
                <w:kern w:val="0"/>
                <w:szCs w:val="21"/>
                <w:highlight w:val="none"/>
              </w:rPr>
              <w:t>2条</w:t>
            </w:r>
          </w:p>
        </w:tc>
      </w:tr>
      <w:tr w14:paraId="1946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val="0"/>
            <w:vAlign w:val="top"/>
          </w:tcPr>
          <w:p w14:paraId="600C30B8">
            <w:pPr>
              <w:widowControl/>
              <w:spacing w:line="360" w:lineRule="auto"/>
              <w:jc w:val="left"/>
              <w:rPr>
                <w:rFonts w:hint="default" w:ascii="仿宋" w:hAnsi="仿宋" w:eastAsia="仿宋" w:cs="仿宋"/>
                <w:b/>
                <w:sz w:val="24"/>
                <w:highlight w:val="none"/>
                <w:vertAlign w:val="baseline"/>
                <w:lang w:val="en-US" w:eastAsia="zh-CN"/>
              </w:rPr>
            </w:pPr>
            <w:r>
              <w:rPr>
                <w:rFonts w:hint="eastAsia" w:ascii="仿宋" w:hAnsi="仿宋" w:eastAsia="仿宋" w:cs="仿宋"/>
                <w:b/>
                <w:sz w:val="24"/>
                <w:highlight w:val="none"/>
                <w:vertAlign w:val="baseline"/>
                <w:lang w:val="en-US" w:eastAsia="zh-CN"/>
              </w:rPr>
              <w:t>9</w:t>
            </w:r>
          </w:p>
        </w:tc>
        <w:tc>
          <w:tcPr>
            <w:tcW w:w="6589" w:type="dxa"/>
            <w:noWrap w:val="0"/>
            <w:vAlign w:val="top"/>
          </w:tcPr>
          <w:p w14:paraId="1A636F3A">
            <w:pPr>
              <w:widowControl/>
              <w:spacing w:line="360" w:lineRule="auto"/>
              <w:jc w:val="left"/>
              <w:rPr>
                <w:rFonts w:hint="eastAsia" w:eastAsia="仿宋" w:cs="仿宋"/>
                <w:bCs/>
                <w:color w:val="000000"/>
                <w:kern w:val="0"/>
                <w:szCs w:val="21"/>
                <w:highlight w:val="none"/>
              </w:rPr>
            </w:pPr>
            <w:r>
              <w:rPr>
                <w:rFonts w:hint="eastAsia" w:eastAsia="仿宋" w:cs="仿宋"/>
                <w:bCs/>
                <w:color w:val="000000"/>
                <w:kern w:val="0"/>
                <w:szCs w:val="21"/>
                <w:highlight w:val="none"/>
              </w:rPr>
              <w:t>反光标记球</w:t>
            </w:r>
          </w:p>
        </w:tc>
        <w:tc>
          <w:tcPr>
            <w:tcW w:w="1253" w:type="dxa"/>
            <w:noWrap w:val="0"/>
            <w:vAlign w:val="top"/>
          </w:tcPr>
          <w:p w14:paraId="61C8DBB3">
            <w:pPr>
              <w:widowControl/>
              <w:spacing w:line="360" w:lineRule="auto"/>
              <w:jc w:val="left"/>
              <w:rPr>
                <w:rFonts w:hint="eastAsia" w:ascii="仿宋" w:hAnsi="仿宋" w:eastAsia="仿宋" w:cs="仿宋"/>
                <w:color w:val="000000"/>
                <w:kern w:val="0"/>
              </w:rPr>
            </w:pPr>
            <w:r>
              <w:rPr>
                <w:rFonts w:hint="eastAsia" w:eastAsia="仿宋" w:cs="仿宋"/>
                <w:bCs/>
                <w:color w:val="000000"/>
                <w:kern w:val="0"/>
                <w:szCs w:val="21"/>
                <w:highlight w:val="none"/>
              </w:rPr>
              <w:t>25个</w:t>
            </w:r>
          </w:p>
        </w:tc>
      </w:tr>
    </w:tbl>
    <w:p w14:paraId="2FCF06B1">
      <w:pPr>
        <w:shd w:val="clear"/>
        <w:spacing w:line="340" w:lineRule="exact"/>
        <w:rPr>
          <w:rFonts w:hint="eastAsia" w:ascii="仿宋" w:hAnsi="仿宋" w:eastAsia="仿宋" w:cs="仿宋"/>
          <w:b/>
          <w:color w:val="000000"/>
          <w:kern w:val="0"/>
          <w:sz w:val="21"/>
          <w:szCs w:val="21"/>
          <w:highlight w:val="none"/>
        </w:rPr>
      </w:pPr>
    </w:p>
    <w:p w14:paraId="1A46BAD6">
      <w:pPr>
        <w:shd w:val="clear"/>
        <w:spacing w:line="340" w:lineRule="exact"/>
        <w:rPr>
          <w:rFonts w:hint="eastAsia" w:ascii="仿宋" w:hAnsi="仿宋" w:eastAsia="仿宋" w:cs="仿宋"/>
          <w:b/>
          <w:color w:val="000000"/>
          <w:sz w:val="21"/>
          <w:szCs w:val="21"/>
          <w:highlight w:val="none"/>
        </w:rPr>
      </w:pPr>
      <w:r>
        <w:rPr>
          <w:rFonts w:hint="eastAsia" w:ascii="仿宋" w:hAnsi="仿宋" w:eastAsia="仿宋" w:cs="仿宋"/>
          <w:b/>
          <w:color w:val="000000"/>
          <w:kern w:val="0"/>
          <w:sz w:val="21"/>
          <w:szCs w:val="21"/>
          <w:highlight w:val="none"/>
        </w:rPr>
        <w:t>技术要求中以“☆”标示的内容为不允许负偏离的实质性要求。</w:t>
      </w:r>
    </w:p>
    <w:p w14:paraId="78951E09">
      <w:pPr>
        <w:shd w:val="clear"/>
        <w:spacing w:line="340" w:lineRule="exact"/>
        <w:rPr>
          <w:rFonts w:hint="eastAsia" w:ascii="仿宋" w:hAnsi="仿宋" w:eastAsia="仿宋" w:cs="仿宋"/>
          <w:color w:val="000000"/>
          <w:sz w:val="21"/>
          <w:szCs w:val="21"/>
          <w:highlight w:val="none"/>
        </w:rPr>
      </w:pPr>
      <w:r>
        <w:rPr>
          <w:rFonts w:hint="eastAsia" w:ascii="仿宋" w:hAnsi="仿宋" w:eastAsia="仿宋" w:cs="仿宋"/>
          <w:b/>
          <w:color w:val="000000"/>
          <w:spacing w:val="-12"/>
          <w:sz w:val="21"/>
          <w:szCs w:val="21"/>
          <w:highlight w:val="none"/>
        </w:rPr>
        <w:t>技术要求中带“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b/>
          <w:color w:val="000000"/>
          <w:spacing w:val="-12"/>
          <w:sz w:val="21"/>
          <w:szCs w:val="21"/>
          <w:highlight w:val="none"/>
        </w:rPr>
        <w:t>”号条款为重要技术指标，每负偏离一项扣3分，</w:t>
      </w:r>
      <w:r>
        <w:rPr>
          <w:rFonts w:hint="eastAsia" w:ascii="仿宋" w:hAnsi="仿宋" w:eastAsia="仿宋" w:cs="仿宋"/>
          <w:color w:val="000000"/>
          <w:sz w:val="21"/>
          <w:szCs w:val="21"/>
          <w:highlight w:val="none"/>
        </w:rPr>
        <w:t>若带“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color w:val="000000"/>
          <w:sz w:val="21"/>
          <w:szCs w:val="21"/>
          <w:highlight w:val="none"/>
        </w:rPr>
        <w:t>”的技术参数有两项及两项以上负偏离时，</w:t>
      </w:r>
      <w:r>
        <w:rPr>
          <w:rFonts w:hint="eastAsia" w:ascii="仿宋" w:hAnsi="仿宋" w:eastAsia="仿宋" w:cs="仿宋"/>
          <w:color w:val="000000"/>
          <w:kern w:val="0"/>
          <w:sz w:val="21"/>
          <w:szCs w:val="21"/>
          <w:highlight w:val="none"/>
        </w:rPr>
        <w:t>则按实质性偏离招标文件要求</w:t>
      </w:r>
      <w:r>
        <w:rPr>
          <w:rFonts w:hint="eastAsia" w:ascii="仿宋" w:hAnsi="仿宋" w:eastAsia="仿宋" w:cs="仿宋"/>
          <w:color w:val="000000"/>
          <w:sz w:val="21"/>
          <w:szCs w:val="21"/>
          <w:highlight w:val="none"/>
        </w:rPr>
        <w:t>,其报价为无效报价；</w:t>
      </w:r>
      <w:r>
        <w:rPr>
          <w:rFonts w:hint="eastAsia" w:ascii="仿宋" w:hAnsi="仿宋" w:eastAsia="仿宋" w:cs="仿宋"/>
          <w:b/>
          <w:color w:val="000000"/>
          <w:spacing w:val="-12"/>
          <w:sz w:val="21"/>
          <w:szCs w:val="21"/>
          <w:highlight w:val="none"/>
        </w:rPr>
        <w:t>未带“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b/>
          <w:color w:val="000000"/>
          <w:spacing w:val="-12"/>
          <w:sz w:val="21"/>
          <w:szCs w:val="21"/>
          <w:highlight w:val="none"/>
        </w:rPr>
        <w:t>”号技术指标，每负偏离一项扣2分，</w:t>
      </w:r>
      <w:r>
        <w:rPr>
          <w:rFonts w:hint="eastAsia" w:ascii="仿宋" w:hAnsi="仿宋" w:eastAsia="仿宋" w:cs="仿宋"/>
          <w:color w:val="000000"/>
          <w:sz w:val="21"/>
          <w:szCs w:val="21"/>
          <w:highlight w:val="none"/>
        </w:rPr>
        <w:t>若未带“</w:t>
      </w:r>
      <w:r>
        <w:rPr>
          <w:rFonts w:hint="eastAsia" w:ascii="仿宋" w:hAnsi="仿宋" w:eastAsia="仿宋" w:cs="仿宋"/>
          <w:color w:val="000000"/>
          <w:sz w:val="21"/>
          <w:szCs w:val="21"/>
          <w:highlight w:val="none"/>
          <w:shd w:val="solid" w:color="FFFFFF" w:fill="auto"/>
        </w:rPr>
        <w:t>▲</w:t>
      </w:r>
      <w:r>
        <w:rPr>
          <w:rFonts w:hint="eastAsia" w:ascii="仿宋" w:hAnsi="仿宋" w:eastAsia="仿宋" w:cs="仿宋"/>
          <w:color w:val="000000"/>
          <w:sz w:val="21"/>
          <w:szCs w:val="21"/>
          <w:highlight w:val="none"/>
        </w:rPr>
        <w:t>”的技术参数有五项及五项以上负偏离时，</w:t>
      </w:r>
      <w:r>
        <w:rPr>
          <w:rFonts w:hint="eastAsia" w:ascii="仿宋" w:hAnsi="仿宋" w:eastAsia="仿宋" w:cs="仿宋"/>
          <w:color w:val="000000"/>
          <w:kern w:val="0"/>
          <w:sz w:val="21"/>
          <w:szCs w:val="21"/>
          <w:highlight w:val="none"/>
        </w:rPr>
        <w:t>则按实质性偏离招标文件要求</w:t>
      </w:r>
      <w:r>
        <w:rPr>
          <w:rFonts w:hint="eastAsia" w:ascii="仿宋" w:hAnsi="仿宋" w:eastAsia="仿宋" w:cs="仿宋"/>
          <w:color w:val="000000"/>
          <w:sz w:val="21"/>
          <w:szCs w:val="21"/>
          <w:highlight w:val="none"/>
        </w:rPr>
        <w:t>,其报价为无效报价。</w:t>
      </w:r>
    </w:p>
    <w:p w14:paraId="03C0B9B2">
      <w:pPr>
        <w:shd w:val="clear"/>
        <w:rPr>
          <w:rFonts w:hint="eastAsia" w:ascii="仿宋" w:hAnsi="仿宋" w:eastAsia="仿宋" w:cs="仿宋"/>
          <w:color w:val="000000"/>
          <w:sz w:val="21"/>
          <w:szCs w:val="21"/>
          <w:highlight w:val="none"/>
          <w:lang w:eastAsia="zh-CN"/>
        </w:rPr>
      </w:pPr>
      <w:r>
        <w:rPr>
          <w:rFonts w:hint="eastAsia" w:ascii="仿宋" w:hAnsi="仿宋" w:eastAsia="仿宋" w:cs="仿宋"/>
          <w:color w:val="000000"/>
          <w:sz w:val="21"/>
          <w:szCs w:val="21"/>
          <w:highlight w:val="none"/>
        </w:rPr>
        <w:t>质保期：整机免费保修</w:t>
      </w:r>
      <w:r>
        <w:rPr>
          <w:rFonts w:hint="eastAsia" w:ascii="仿宋" w:hAnsi="仿宋" w:eastAsia="仿宋" w:cs="仿宋"/>
          <w:color w:val="000000"/>
          <w:sz w:val="21"/>
          <w:szCs w:val="21"/>
          <w:highlight w:val="none"/>
          <w:lang w:val="en-US" w:eastAsia="zh-CN"/>
        </w:rPr>
        <w:t>3</w:t>
      </w:r>
      <w:r>
        <w:rPr>
          <w:rFonts w:hint="eastAsia" w:ascii="仿宋" w:hAnsi="仿宋" w:eastAsia="仿宋" w:cs="仿宋"/>
          <w:color w:val="000000"/>
          <w:sz w:val="21"/>
          <w:szCs w:val="21"/>
          <w:highlight w:val="none"/>
        </w:rPr>
        <w:t>年</w:t>
      </w:r>
      <w:r>
        <w:rPr>
          <w:rFonts w:hint="eastAsia" w:ascii="仿宋" w:hAnsi="仿宋" w:eastAsia="仿宋" w:cs="仿宋"/>
          <w:color w:val="000000"/>
          <w:sz w:val="21"/>
          <w:szCs w:val="21"/>
          <w:highlight w:val="none"/>
          <w:lang w:eastAsia="zh-CN"/>
        </w:rPr>
        <w:t>。</w:t>
      </w:r>
    </w:p>
    <w:p w14:paraId="3ED86E77">
      <w:pPr>
        <w:shd w:val="clear"/>
        <w:spacing w:line="340" w:lineRule="exact"/>
        <w:rPr>
          <w:rFonts w:hint="eastAsia" w:ascii="仿宋" w:hAnsi="仿宋" w:eastAsia="仿宋" w:cs="仿宋"/>
          <w:b/>
          <w:sz w:val="21"/>
          <w:szCs w:val="21"/>
        </w:rPr>
      </w:pPr>
    </w:p>
    <w:p w14:paraId="7D69E61E">
      <w:pPr>
        <w:shd w:val="clear"/>
        <w:spacing w:line="340" w:lineRule="exact"/>
        <w:rPr>
          <w:rFonts w:hint="eastAsia" w:ascii="仿宋" w:hAnsi="仿宋" w:eastAsia="仿宋" w:cs="仿宋"/>
          <w:b/>
          <w:sz w:val="21"/>
          <w:szCs w:val="21"/>
        </w:rPr>
      </w:pPr>
    </w:p>
    <w:p w14:paraId="3B79DB33">
      <w:pPr>
        <w:shd w:val="clear"/>
        <w:spacing w:line="340" w:lineRule="exact"/>
        <w:rPr>
          <w:rFonts w:hint="eastAsia" w:ascii="仿宋" w:hAnsi="仿宋" w:eastAsia="仿宋" w:cs="仿宋"/>
          <w:b/>
          <w:sz w:val="21"/>
          <w:szCs w:val="21"/>
        </w:rPr>
      </w:pPr>
    </w:p>
    <w:p w14:paraId="72D54705">
      <w:pPr>
        <w:shd w:val="clear"/>
        <w:spacing w:line="340" w:lineRule="exact"/>
        <w:rPr>
          <w:rFonts w:hint="eastAsia" w:ascii="仿宋" w:hAnsi="仿宋" w:eastAsia="仿宋" w:cs="仿宋"/>
          <w:b/>
          <w:sz w:val="21"/>
          <w:szCs w:val="21"/>
        </w:rPr>
      </w:pPr>
      <w:r>
        <w:rPr>
          <w:rFonts w:hint="eastAsia" w:ascii="仿宋" w:hAnsi="仿宋" w:eastAsia="仿宋" w:cs="仿宋"/>
          <w:b/>
          <w:sz w:val="21"/>
          <w:szCs w:val="21"/>
        </w:rPr>
        <w:t>交货：</w:t>
      </w:r>
    </w:p>
    <w:p w14:paraId="48AAC57E">
      <w:pPr>
        <w:pStyle w:val="11"/>
        <w:shd w:val="clear"/>
        <w:tabs>
          <w:tab w:val="left" w:pos="8360"/>
        </w:tabs>
        <w:adjustRightInd w:val="0"/>
        <w:snapToGrid w:val="0"/>
        <w:spacing w:line="340" w:lineRule="exact"/>
        <w:ind w:firstLine="420" w:firstLineChars="200"/>
        <w:jc w:val="left"/>
        <w:rPr>
          <w:rFonts w:hint="eastAsia" w:ascii="仿宋" w:hAnsi="仿宋" w:eastAsia="仿宋" w:cs="仿宋"/>
          <w:sz w:val="21"/>
          <w:szCs w:val="21"/>
        </w:rPr>
      </w:pPr>
      <w:r>
        <w:rPr>
          <w:rFonts w:hint="eastAsia" w:ascii="仿宋" w:hAnsi="仿宋" w:eastAsia="仿宋" w:cs="仿宋"/>
          <w:sz w:val="21"/>
          <w:szCs w:val="21"/>
        </w:rPr>
        <w:t>1、交货时间：合同签订后</w:t>
      </w:r>
      <w:r>
        <w:rPr>
          <w:rFonts w:hint="eastAsia" w:ascii="仿宋" w:hAnsi="仿宋" w:eastAsia="仿宋" w:cs="仿宋"/>
          <w:sz w:val="21"/>
          <w:szCs w:val="21"/>
          <w:lang w:val="en-US" w:eastAsia="zh-CN"/>
        </w:rPr>
        <w:t>90</w:t>
      </w:r>
      <w:r>
        <w:rPr>
          <w:rFonts w:hint="eastAsia" w:ascii="仿宋" w:hAnsi="仿宋" w:eastAsia="仿宋" w:cs="仿宋"/>
          <w:sz w:val="21"/>
          <w:szCs w:val="21"/>
        </w:rPr>
        <w:t>天内到货并免费安装调试达到可供试运行的程度。</w:t>
      </w:r>
    </w:p>
    <w:p w14:paraId="2795DFC2">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2、交货地点：福建中医药大学</w:t>
      </w:r>
      <w:r>
        <w:rPr>
          <w:rFonts w:hint="eastAsia" w:ascii="仿宋" w:hAnsi="仿宋" w:eastAsia="仿宋" w:cs="仿宋"/>
          <w:sz w:val="21"/>
          <w:szCs w:val="21"/>
          <w:lang w:val="en-US" w:eastAsia="zh-CN"/>
        </w:rPr>
        <w:t>旗山校区</w:t>
      </w:r>
      <w:r>
        <w:rPr>
          <w:rFonts w:hint="eastAsia" w:ascii="仿宋" w:hAnsi="仿宋" w:eastAsia="仿宋" w:cs="仿宋"/>
          <w:sz w:val="21"/>
          <w:szCs w:val="21"/>
        </w:rPr>
        <w:t>。</w:t>
      </w:r>
    </w:p>
    <w:p w14:paraId="4D109711">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交货时应提供设备的装箱单等证明材料，设备需为厂家原包装未拆封。</w:t>
      </w:r>
    </w:p>
    <w:p w14:paraId="2B521804">
      <w:pPr>
        <w:shd w:val="clear"/>
        <w:spacing w:line="340" w:lineRule="exact"/>
        <w:ind w:firstLine="420" w:firstLineChars="200"/>
        <w:rPr>
          <w:rFonts w:hint="eastAsia" w:ascii="仿宋" w:hAnsi="仿宋" w:eastAsia="仿宋" w:cs="仿宋"/>
          <w:sz w:val="21"/>
          <w:szCs w:val="21"/>
        </w:rPr>
      </w:pPr>
    </w:p>
    <w:p w14:paraId="6FC1045A">
      <w:pPr>
        <w:shd w:val="clear"/>
        <w:spacing w:line="340" w:lineRule="exact"/>
        <w:rPr>
          <w:rFonts w:hint="eastAsia" w:ascii="仿宋" w:hAnsi="仿宋" w:eastAsia="仿宋" w:cs="仿宋"/>
          <w:b/>
          <w:sz w:val="21"/>
          <w:szCs w:val="21"/>
        </w:rPr>
      </w:pPr>
      <w:r>
        <w:rPr>
          <w:rFonts w:hint="eastAsia" w:ascii="仿宋" w:hAnsi="仿宋" w:eastAsia="仿宋" w:cs="仿宋"/>
          <w:b/>
          <w:sz w:val="21"/>
          <w:szCs w:val="21"/>
        </w:rPr>
        <w:t>付款方式：</w:t>
      </w:r>
    </w:p>
    <w:p w14:paraId="145F9FED">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（1）国产设备：最终验收合格后1个月内支付100%的合同款。</w:t>
      </w:r>
    </w:p>
    <w:p w14:paraId="5C48DBC2">
      <w:pPr>
        <w:shd w:val="clear"/>
        <w:spacing w:line="34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（2）100万元以下进口免税设备：合同生效后，预付合同款的50%；最终验收合格后的1个月内支付剩余50 % 的合同款。</w:t>
      </w:r>
    </w:p>
    <w:p w14:paraId="529D5A58">
      <w:pPr>
        <w:shd w:val="clear"/>
        <w:spacing w:line="340" w:lineRule="exact"/>
        <w:ind w:firstLine="420" w:firstLineChars="200"/>
        <w:rPr>
          <w:rFonts w:hint="eastAsia" w:ascii="仿宋" w:hAnsi="仿宋" w:eastAsia="仿宋" w:cs="仿宋"/>
          <w:b/>
          <w:sz w:val="21"/>
          <w:szCs w:val="21"/>
        </w:rPr>
      </w:pPr>
      <w:r>
        <w:rPr>
          <w:rFonts w:hint="eastAsia" w:ascii="仿宋" w:hAnsi="仿宋" w:eastAsia="仿宋" w:cs="仿宋"/>
          <w:sz w:val="21"/>
          <w:szCs w:val="21"/>
        </w:rPr>
        <w:t>（3）100万元以上（含100万元）进口免税设备：合同生效后，预付合同款的60%；最终验收合格后的1个月内，支付剩余40% 的合同款。</w:t>
      </w:r>
    </w:p>
    <w:p w14:paraId="607FE77B">
      <w:pPr>
        <w:shd w:val="clear"/>
        <w:spacing w:line="340" w:lineRule="exact"/>
        <w:rPr>
          <w:rFonts w:hint="eastAsia" w:ascii="仿宋" w:hAnsi="仿宋" w:eastAsia="仿宋" w:cs="仿宋"/>
          <w:sz w:val="21"/>
          <w:szCs w:val="21"/>
        </w:rPr>
      </w:pPr>
      <w:r>
        <w:rPr>
          <w:rFonts w:hint="eastAsia" w:ascii="仿宋" w:hAnsi="仿宋" w:eastAsia="仿宋" w:cs="仿宋"/>
          <w:b/>
          <w:kern w:val="0"/>
          <w:sz w:val="21"/>
          <w:szCs w:val="21"/>
        </w:rPr>
        <w:t>履约保证金：</w:t>
      </w:r>
      <w:r>
        <w:rPr>
          <w:rFonts w:hint="eastAsia" w:ascii="仿宋" w:hAnsi="仿宋" w:eastAsia="仿宋" w:cs="仿宋"/>
          <w:kern w:val="0"/>
          <w:sz w:val="21"/>
          <w:szCs w:val="21"/>
        </w:rPr>
        <w:t>中标供应商应在签订合同后，向采购人缴纳中标总价的5%履约保证金（合同包成交价不足30万不需缴纳）。履约保证金在合同下所列项目验收合格后，无合同条款所规定的未了事件，采购方无息退还。若发生下列情况之一，采购方将提出追索和索赔：a.中标方不按采购文件规定履行采购合同；b.签定合同后，中标方不按合同规定的条件供应软件和提供服务。c、如果中标方未能按合同规定履行其义务，采购方有权从履约保证金中取得补偿。</w:t>
      </w:r>
    </w:p>
    <w:p w14:paraId="20479435">
      <w:pPr>
        <w:shd w:val="clear"/>
        <w:spacing w:line="340" w:lineRule="exact"/>
        <w:rPr>
          <w:rFonts w:hint="eastAsia" w:ascii="仿宋" w:hAnsi="仿宋" w:eastAsia="仿宋" w:cs="仿宋"/>
          <w:b/>
          <w:bCs/>
          <w:sz w:val="21"/>
          <w:szCs w:val="21"/>
        </w:rPr>
      </w:pPr>
      <w:r>
        <w:rPr>
          <w:rFonts w:hint="eastAsia" w:ascii="仿宋" w:hAnsi="仿宋" w:eastAsia="仿宋" w:cs="仿宋"/>
          <w:b/>
          <w:bCs/>
          <w:sz w:val="21"/>
          <w:szCs w:val="21"/>
        </w:rPr>
        <w:t>安装和调试：</w:t>
      </w:r>
    </w:p>
    <w:p w14:paraId="741FB7D5">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1.1货物必须达到以上招标文件要求的技术指标，实现采购人要求，保证货物的正常运行。</w:t>
      </w:r>
    </w:p>
    <w:p w14:paraId="713732A2">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1.2中标人应负责按所签订合同的具体要求、具体数量、具体地点将货物运送到采购人指 定地点并负责安装，安装并经最终验收合格后，交付采购人使用，中标人须在投标中详细列明所需各项费用。安装、调试所需工具、仪表及安装材料等均由中标人负责提供。</w:t>
      </w:r>
    </w:p>
    <w:p w14:paraId="62AB18B0">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1.3中标人负责组织专业技术人员进行货物安装，采购人应提供必须的基本条件和专人配合，保证各项安装工作顺利进行。</w:t>
      </w:r>
    </w:p>
    <w:p w14:paraId="29FB70F0">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1.4安装到位后的货物由中标人及采购人共同进行质量验收签字。</w:t>
      </w:r>
    </w:p>
    <w:p w14:paraId="71F09F5C">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1.5货物验收前，中标人须提供完整的技术资料(包括产品中文说明书、中文采购人手册、出厂明细表或装箱单、制造厂质量合格证书及其他相关文件资料)。</w:t>
      </w:r>
    </w:p>
    <w:p w14:paraId="54F0D5CE">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1.6中标人向采购人提供安装和维护所需特殊专用的工具、备件及清单和中文说明书，其费用包括在投标价格内。</w:t>
      </w:r>
    </w:p>
    <w:p w14:paraId="60B54B31">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1.7中标人在采购人安装现场进行最终验收所发生的一切费用由中标人承担。</w:t>
      </w:r>
    </w:p>
    <w:p w14:paraId="7DAAB82A">
      <w:pPr>
        <w:shd w:val="clear"/>
        <w:spacing w:line="340" w:lineRule="exact"/>
        <w:rPr>
          <w:rFonts w:hint="eastAsia" w:ascii="仿宋" w:hAnsi="仿宋" w:eastAsia="仿宋" w:cs="仿宋"/>
          <w:sz w:val="21"/>
          <w:szCs w:val="21"/>
        </w:rPr>
      </w:pPr>
      <w:r>
        <w:rPr>
          <w:rFonts w:hint="eastAsia" w:ascii="仿宋" w:hAnsi="仿宋" w:eastAsia="仿宋" w:cs="仿宋"/>
          <w:sz w:val="21"/>
          <w:szCs w:val="21"/>
        </w:rPr>
        <w:t>1.8中标人应提供货物使用免费培训和技术服务。</w:t>
      </w:r>
    </w:p>
    <w:p w14:paraId="32876C05">
      <w:pPr>
        <w:shd w:val="clear"/>
        <w:spacing w:line="340" w:lineRule="exact"/>
        <w:rPr>
          <w:rFonts w:hint="eastAsia" w:ascii="仿宋" w:hAnsi="仿宋" w:eastAsia="仿宋" w:cs="仿宋"/>
          <w:b/>
          <w:bCs/>
          <w:sz w:val="21"/>
          <w:szCs w:val="21"/>
        </w:rPr>
      </w:pPr>
      <w:r>
        <w:rPr>
          <w:rFonts w:hint="eastAsia" w:ascii="仿宋" w:hAnsi="仿宋" w:eastAsia="仿宋" w:cs="仿宋"/>
          <w:b/>
          <w:bCs/>
          <w:sz w:val="21"/>
          <w:szCs w:val="21"/>
        </w:rPr>
        <w:t>验收标准</w:t>
      </w:r>
    </w:p>
    <w:p w14:paraId="3B01833D">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color w:val="000000"/>
          <w:sz w:val="21"/>
          <w:szCs w:val="21"/>
        </w:rPr>
      </w:pPr>
      <w:r>
        <w:rPr>
          <w:rFonts w:hint="eastAsia" w:ascii="仿宋" w:hAnsi="仿宋" w:eastAsia="仿宋" w:cs="仿宋"/>
          <w:sz w:val="21"/>
          <w:szCs w:val="21"/>
        </w:rPr>
        <w:t>所有货物按厂家产品验收标准(符合国家或行业或地方标准)、招标文件、投标文件等有关部分内容进行验收。产品质量达到设 计要求，安装调试各项指标符合技术参数要求且须通过质检、计量部门的检验。验收程序和方法:初验收：货物送至甲方安装现场后，由甲、乙双方共同对货物的数量、基本质量、外包装等逐项检验。最终验收：初验合格且设备安装完毕后，设备进行为期30天的试运行。试运行结束后，甲方对其在试运行中的主要指标（如性能、可靠性、稳定性等）进行评价，符合要求后的，最终验收通过；不合格的，中标方需进行更换或整改，并重新调试运行直至达到最终验收合格。验收结果经甲乙双方确认后，甲乙双方代表必须按《设备验收清单》（壹式叁联）上规定的项目对照本合同填好验收结果并签名、加盖各自单位的公章，由乙方将一联提交给甲方存档。如发现设备与合同规定不符，甲方有权拒绝接受并向乙方提出索赔。如货物在质量保证期内被证明存在缺陷，包括潜在的缺陷或使用不合适的材料，甲方有权凭有关证明文件向乙方提出索赔。</w:t>
      </w:r>
    </w:p>
    <w:p w14:paraId="7580ABCD">
      <w:pPr>
        <w:shd w:val="clear"/>
        <w:spacing w:line="340" w:lineRule="exact"/>
        <w:rPr>
          <w:rFonts w:hint="eastAsia" w:ascii="仿宋" w:hAnsi="仿宋" w:eastAsia="仿宋" w:cs="仿宋"/>
          <w:b/>
          <w:bCs/>
          <w:sz w:val="21"/>
          <w:szCs w:val="21"/>
        </w:rPr>
      </w:pPr>
      <w:r>
        <w:rPr>
          <w:rFonts w:hint="eastAsia" w:ascii="仿宋" w:hAnsi="仿宋" w:eastAsia="仿宋" w:cs="仿宋"/>
          <w:b/>
          <w:bCs/>
          <w:sz w:val="21"/>
          <w:szCs w:val="21"/>
        </w:rPr>
        <w:t>违约责任</w:t>
      </w:r>
    </w:p>
    <w:p w14:paraId="49035774">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1、中标人</w:t>
      </w:r>
      <w:r>
        <w:rPr>
          <w:rFonts w:hint="eastAsia" w:ascii="仿宋" w:hAnsi="仿宋" w:eastAsia="仿宋" w:cs="仿宋"/>
          <w:sz w:val="21"/>
          <w:szCs w:val="21"/>
        </w:rPr>
        <w:t>未达到</w:t>
      </w:r>
      <w:r>
        <w:rPr>
          <w:rFonts w:hint="eastAsia" w:ascii="仿宋" w:hAnsi="仿宋" w:eastAsia="仿宋" w:cs="仿宋"/>
          <w:sz w:val="21"/>
          <w:szCs w:val="21"/>
          <w:lang w:val="en-US" w:eastAsia="zh-CN"/>
        </w:rPr>
        <w:t>招标文件交货时间</w:t>
      </w:r>
      <w:r>
        <w:rPr>
          <w:rFonts w:hint="eastAsia" w:ascii="仿宋" w:hAnsi="仿宋" w:eastAsia="仿宋" w:cs="仿宋"/>
          <w:sz w:val="21"/>
          <w:szCs w:val="21"/>
        </w:rPr>
        <w:t>要求，即超过供货时间而未完成规定的义务，属</w:t>
      </w:r>
      <w:r>
        <w:rPr>
          <w:rFonts w:hint="eastAsia" w:ascii="仿宋" w:hAnsi="仿宋" w:eastAsia="仿宋" w:cs="仿宋"/>
          <w:sz w:val="21"/>
          <w:szCs w:val="21"/>
          <w:lang w:val="en-US" w:eastAsia="zh-CN"/>
        </w:rPr>
        <w:t>采购人</w:t>
      </w:r>
      <w:r>
        <w:rPr>
          <w:rFonts w:hint="eastAsia" w:ascii="仿宋" w:hAnsi="仿宋" w:eastAsia="仿宋" w:cs="仿宋"/>
          <w:sz w:val="21"/>
          <w:szCs w:val="21"/>
        </w:rPr>
        <w:t xml:space="preserve">的原因造成拖延的要承担违约责任；违约款为每延期6天按设备总额的 0.5% </w:t>
      </w:r>
      <w:r>
        <w:rPr>
          <w:rFonts w:hint="eastAsia" w:ascii="仿宋" w:hAnsi="仿宋" w:eastAsia="仿宋" w:cs="仿宋"/>
          <w:sz w:val="21"/>
          <w:szCs w:val="21"/>
          <w:lang w:eastAsia="zh-CN"/>
        </w:rPr>
        <w:t>支付违约金</w:t>
      </w:r>
      <w:r>
        <w:rPr>
          <w:rFonts w:hint="eastAsia" w:ascii="仿宋" w:hAnsi="仿宋" w:eastAsia="仿宋" w:cs="仿宋"/>
          <w:sz w:val="21"/>
          <w:szCs w:val="21"/>
        </w:rPr>
        <w:t>，不足6天按6天计算；同时</w:t>
      </w:r>
      <w:r>
        <w:rPr>
          <w:rFonts w:hint="eastAsia" w:ascii="仿宋" w:hAnsi="仿宋" w:eastAsia="仿宋" w:cs="仿宋"/>
          <w:sz w:val="21"/>
          <w:szCs w:val="21"/>
          <w:lang w:val="en-US" w:eastAsia="zh-CN"/>
        </w:rPr>
        <w:t>中标人</w:t>
      </w:r>
      <w:r>
        <w:rPr>
          <w:rFonts w:hint="eastAsia" w:ascii="仿宋" w:hAnsi="仿宋" w:eastAsia="仿宋" w:cs="仿宋"/>
          <w:sz w:val="21"/>
          <w:szCs w:val="21"/>
        </w:rPr>
        <w:t>应继续履行本合同的责任和义务。</w:t>
      </w:r>
    </w:p>
    <w:p w14:paraId="10FE8E5B">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2、中标人</w:t>
      </w:r>
      <w:r>
        <w:rPr>
          <w:rFonts w:hint="eastAsia" w:ascii="仿宋" w:hAnsi="仿宋" w:eastAsia="仿宋" w:cs="仿宋"/>
          <w:sz w:val="21"/>
          <w:szCs w:val="21"/>
        </w:rPr>
        <w:t>所交设备不符合本合同要求的应无偿更换所交货物，所涉及的相关费用及损失由</w:t>
      </w:r>
      <w:r>
        <w:rPr>
          <w:rFonts w:hint="eastAsia" w:ascii="仿宋" w:hAnsi="仿宋" w:eastAsia="仿宋" w:cs="仿宋"/>
          <w:sz w:val="21"/>
          <w:szCs w:val="21"/>
          <w:lang w:val="en-US" w:eastAsia="zh-CN"/>
        </w:rPr>
        <w:t>中标人</w:t>
      </w:r>
      <w:r>
        <w:rPr>
          <w:rFonts w:hint="eastAsia" w:ascii="仿宋" w:hAnsi="仿宋" w:eastAsia="仿宋" w:cs="仿宋"/>
          <w:sz w:val="21"/>
          <w:szCs w:val="21"/>
        </w:rPr>
        <w:t>承担，并处以成交总金额5% 的违约金。若更换设备时间超出</w:t>
      </w:r>
      <w:r>
        <w:rPr>
          <w:rFonts w:hint="eastAsia" w:ascii="仿宋" w:hAnsi="仿宋" w:eastAsia="仿宋" w:cs="仿宋"/>
          <w:sz w:val="21"/>
          <w:szCs w:val="21"/>
          <w:lang w:val="en-US" w:eastAsia="zh-CN"/>
        </w:rPr>
        <w:t>招标文件</w:t>
      </w:r>
      <w:r>
        <w:rPr>
          <w:rFonts w:hint="eastAsia" w:ascii="仿宋" w:hAnsi="仿宋" w:eastAsia="仿宋" w:cs="仿宋"/>
          <w:sz w:val="21"/>
          <w:szCs w:val="21"/>
        </w:rPr>
        <w:t>要求的参照</w:t>
      </w:r>
      <w:r>
        <w:rPr>
          <w:rFonts w:hint="eastAsia" w:ascii="仿宋" w:hAnsi="仿宋" w:eastAsia="仿宋" w:cs="仿宋"/>
          <w:sz w:val="21"/>
          <w:szCs w:val="21"/>
          <w:lang w:val="en-US" w:eastAsia="zh-CN"/>
        </w:rPr>
        <w:t>4</w:t>
      </w:r>
      <w:r>
        <w:rPr>
          <w:rFonts w:hint="eastAsia" w:ascii="仿宋" w:hAnsi="仿宋" w:eastAsia="仿宋" w:cs="仿宋"/>
          <w:sz w:val="21"/>
          <w:szCs w:val="21"/>
        </w:rPr>
        <w:t>.2条的违约款额度对</w:t>
      </w:r>
      <w:r>
        <w:rPr>
          <w:rFonts w:hint="eastAsia" w:ascii="仿宋" w:hAnsi="仿宋" w:eastAsia="仿宋" w:cs="仿宋"/>
          <w:sz w:val="21"/>
          <w:szCs w:val="21"/>
          <w:lang w:val="en-US" w:eastAsia="zh-CN"/>
        </w:rPr>
        <w:t>中标人</w:t>
      </w:r>
      <w:r>
        <w:rPr>
          <w:rFonts w:hint="eastAsia" w:ascii="仿宋" w:hAnsi="仿宋" w:eastAsia="仿宋" w:cs="仿宋"/>
          <w:sz w:val="21"/>
          <w:szCs w:val="21"/>
        </w:rPr>
        <w:t>进行处罚，直到更换的设备达到本合同的要求止；</w:t>
      </w:r>
      <w:r>
        <w:rPr>
          <w:rFonts w:hint="eastAsia" w:ascii="仿宋" w:hAnsi="仿宋" w:eastAsia="仿宋" w:cs="仿宋"/>
          <w:sz w:val="21"/>
          <w:szCs w:val="21"/>
          <w:lang w:val="en-US" w:eastAsia="zh-CN"/>
        </w:rPr>
        <w:t>中标人</w:t>
      </w:r>
      <w:r>
        <w:rPr>
          <w:rFonts w:hint="eastAsia" w:ascii="仿宋" w:hAnsi="仿宋" w:eastAsia="仿宋" w:cs="仿宋"/>
          <w:sz w:val="21"/>
          <w:szCs w:val="21"/>
        </w:rPr>
        <w:t>应继续履行本合同的责任和义务。</w:t>
      </w:r>
    </w:p>
    <w:p w14:paraId="56E7972E">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若出现以下情况</w:t>
      </w:r>
      <w:r>
        <w:rPr>
          <w:rFonts w:hint="eastAsia" w:ascii="仿宋" w:hAnsi="仿宋" w:eastAsia="仿宋" w:cs="仿宋"/>
          <w:sz w:val="21"/>
          <w:szCs w:val="21"/>
          <w:lang w:val="en-US" w:eastAsia="zh-CN"/>
        </w:rPr>
        <w:t>采购人</w:t>
      </w:r>
      <w:r>
        <w:rPr>
          <w:rFonts w:hint="eastAsia" w:ascii="仿宋" w:hAnsi="仿宋" w:eastAsia="仿宋" w:cs="仿宋"/>
          <w:sz w:val="21"/>
          <w:szCs w:val="21"/>
        </w:rPr>
        <w:t>有权选择解除合同：</w:t>
      </w:r>
    </w:p>
    <w:p w14:paraId="13B2F099">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3.1</w:t>
      </w:r>
      <w:r>
        <w:rPr>
          <w:rFonts w:hint="eastAsia" w:ascii="仿宋" w:hAnsi="仿宋" w:eastAsia="仿宋" w:cs="仿宋"/>
          <w:sz w:val="21"/>
          <w:szCs w:val="21"/>
        </w:rPr>
        <w:t>属于</w:t>
      </w:r>
      <w:r>
        <w:rPr>
          <w:rFonts w:hint="eastAsia" w:ascii="仿宋" w:hAnsi="仿宋" w:eastAsia="仿宋" w:cs="仿宋"/>
          <w:sz w:val="21"/>
          <w:szCs w:val="21"/>
          <w:lang w:val="en-US" w:eastAsia="zh-CN"/>
        </w:rPr>
        <w:t>中标人</w:t>
      </w:r>
      <w:r>
        <w:rPr>
          <w:rFonts w:hint="eastAsia" w:ascii="仿宋" w:hAnsi="仿宋" w:eastAsia="仿宋" w:cs="仿宋"/>
          <w:sz w:val="21"/>
          <w:szCs w:val="21"/>
        </w:rPr>
        <w:t>原因造成拖延，超过</w:t>
      </w:r>
      <w:r>
        <w:rPr>
          <w:rFonts w:hint="eastAsia" w:ascii="仿宋" w:hAnsi="仿宋" w:eastAsia="仿宋" w:cs="仿宋"/>
          <w:sz w:val="21"/>
          <w:szCs w:val="21"/>
          <w:lang w:val="en-US" w:eastAsia="zh-CN"/>
        </w:rPr>
        <w:t>招标文件</w:t>
      </w:r>
      <w:r>
        <w:rPr>
          <w:rFonts w:hint="eastAsia" w:ascii="仿宋" w:hAnsi="仿宋" w:eastAsia="仿宋" w:cs="仿宋"/>
          <w:sz w:val="21"/>
          <w:szCs w:val="21"/>
        </w:rPr>
        <w:t>规定的供货时间30天；</w:t>
      </w:r>
    </w:p>
    <w:p w14:paraId="73770FAF">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3.2中标人</w:t>
      </w:r>
      <w:r>
        <w:rPr>
          <w:rFonts w:hint="eastAsia" w:ascii="仿宋" w:hAnsi="仿宋" w:eastAsia="仿宋" w:cs="仿宋"/>
          <w:sz w:val="21"/>
          <w:szCs w:val="21"/>
        </w:rPr>
        <w:t>所交设备不符合本合同要求，从</w:t>
      </w:r>
      <w:r>
        <w:rPr>
          <w:rFonts w:hint="eastAsia" w:ascii="仿宋" w:hAnsi="仿宋" w:eastAsia="仿宋" w:cs="仿宋"/>
          <w:sz w:val="21"/>
          <w:szCs w:val="21"/>
          <w:lang w:val="en-US" w:eastAsia="zh-CN"/>
        </w:rPr>
        <w:t>采购人</w:t>
      </w:r>
      <w:r>
        <w:rPr>
          <w:rFonts w:hint="eastAsia" w:ascii="仿宋" w:hAnsi="仿宋" w:eastAsia="仿宋" w:cs="仿宋"/>
          <w:sz w:val="21"/>
          <w:szCs w:val="21"/>
        </w:rPr>
        <w:t>第一次通知</w:t>
      </w:r>
      <w:r>
        <w:rPr>
          <w:rFonts w:hint="eastAsia" w:ascii="仿宋" w:hAnsi="仿宋" w:eastAsia="仿宋" w:cs="仿宋"/>
          <w:sz w:val="21"/>
          <w:szCs w:val="21"/>
          <w:lang w:val="en-US" w:eastAsia="zh-CN"/>
        </w:rPr>
        <w:t>中标人</w:t>
      </w:r>
      <w:r>
        <w:rPr>
          <w:rFonts w:hint="eastAsia" w:ascii="仿宋" w:hAnsi="仿宋" w:eastAsia="仿宋" w:cs="仿宋"/>
          <w:sz w:val="21"/>
          <w:szCs w:val="21"/>
        </w:rPr>
        <w:t>起算，</w:t>
      </w:r>
      <w:r>
        <w:rPr>
          <w:rFonts w:hint="eastAsia" w:ascii="仿宋" w:hAnsi="仿宋" w:eastAsia="仿宋" w:cs="仿宋"/>
          <w:sz w:val="21"/>
          <w:szCs w:val="21"/>
          <w:lang w:val="en-US" w:eastAsia="zh-CN"/>
        </w:rPr>
        <w:t>中标人</w:t>
      </w:r>
      <w:r>
        <w:rPr>
          <w:rFonts w:hint="eastAsia" w:ascii="仿宋" w:hAnsi="仿宋" w:eastAsia="仿宋" w:cs="仿宋"/>
          <w:sz w:val="21"/>
          <w:szCs w:val="21"/>
        </w:rPr>
        <w:t>不整改或经更换、整改仍不符合，时间超过30天；</w:t>
      </w:r>
    </w:p>
    <w:p w14:paraId="1CBD32FA">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4、中标人</w:t>
      </w:r>
      <w:r>
        <w:rPr>
          <w:rFonts w:hint="eastAsia" w:ascii="仿宋" w:hAnsi="仿宋" w:eastAsia="仿宋" w:cs="仿宋"/>
          <w:sz w:val="21"/>
          <w:szCs w:val="21"/>
        </w:rPr>
        <w:t>在解除合同7个工作日内退还</w:t>
      </w:r>
      <w:r>
        <w:rPr>
          <w:rFonts w:hint="eastAsia" w:ascii="仿宋" w:hAnsi="仿宋" w:eastAsia="仿宋" w:cs="仿宋"/>
          <w:sz w:val="21"/>
          <w:szCs w:val="21"/>
          <w:lang w:val="en-US" w:eastAsia="zh-CN"/>
        </w:rPr>
        <w:t>采购人</w:t>
      </w:r>
      <w:r>
        <w:rPr>
          <w:rFonts w:hint="eastAsia" w:ascii="仿宋" w:hAnsi="仿宋" w:eastAsia="仿宋" w:cs="仿宋"/>
          <w:sz w:val="21"/>
          <w:szCs w:val="21"/>
        </w:rPr>
        <w:t>所有已支付的款项,并向</w:t>
      </w:r>
      <w:r>
        <w:rPr>
          <w:rFonts w:hint="eastAsia" w:ascii="仿宋" w:hAnsi="仿宋" w:eastAsia="仿宋" w:cs="仿宋"/>
          <w:sz w:val="21"/>
          <w:szCs w:val="21"/>
          <w:lang w:val="en-US" w:eastAsia="zh-CN"/>
        </w:rPr>
        <w:t>采购人</w:t>
      </w:r>
      <w:r>
        <w:rPr>
          <w:rFonts w:hint="eastAsia" w:ascii="仿宋" w:hAnsi="仿宋" w:eastAsia="仿宋" w:cs="仿宋"/>
          <w:sz w:val="21"/>
          <w:szCs w:val="21"/>
        </w:rPr>
        <w:t>偿付成交总金额30% 的违约金。</w:t>
      </w:r>
    </w:p>
    <w:p w14:paraId="0853BC71">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5、</w:t>
      </w:r>
      <w:r>
        <w:rPr>
          <w:rFonts w:hint="eastAsia" w:ascii="仿宋" w:hAnsi="仿宋" w:eastAsia="仿宋" w:cs="仿宋"/>
          <w:sz w:val="21"/>
          <w:szCs w:val="21"/>
        </w:rPr>
        <w:t>出现</w:t>
      </w:r>
      <w:r>
        <w:rPr>
          <w:rFonts w:hint="eastAsia" w:ascii="仿宋" w:hAnsi="仿宋" w:eastAsia="仿宋" w:cs="仿宋"/>
          <w:sz w:val="21"/>
          <w:szCs w:val="21"/>
          <w:lang w:val="en-US" w:eastAsia="zh-CN"/>
        </w:rPr>
        <w:t>第3</w:t>
      </w:r>
      <w:r>
        <w:rPr>
          <w:rFonts w:hint="eastAsia" w:ascii="仿宋" w:hAnsi="仿宋" w:eastAsia="仿宋" w:cs="仿宋"/>
          <w:sz w:val="21"/>
          <w:szCs w:val="21"/>
        </w:rPr>
        <w:t>条情况后，</w:t>
      </w:r>
      <w:r>
        <w:rPr>
          <w:rFonts w:hint="eastAsia" w:ascii="仿宋" w:hAnsi="仿宋" w:eastAsia="仿宋" w:cs="仿宋"/>
          <w:sz w:val="21"/>
          <w:szCs w:val="21"/>
          <w:lang w:val="en-US" w:eastAsia="zh-CN"/>
        </w:rPr>
        <w:t>采购人</w:t>
      </w:r>
      <w:r>
        <w:rPr>
          <w:rFonts w:hint="eastAsia" w:ascii="仿宋" w:hAnsi="仿宋" w:eastAsia="仿宋" w:cs="仿宋"/>
          <w:sz w:val="21"/>
          <w:szCs w:val="21"/>
        </w:rPr>
        <w:t>有权无偿使用</w:t>
      </w:r>
      <w:r>
        <w:rPr>
          <w:rFonts w:hint="eastAsia" w:ascii="仿宋" w:hAnsi="仿宋" w:eastAsia="仿宋" w:cs="仿宋"/>
          <w:sz w:val="21"/>
          <w:szCs w:val="21"/>
          <w:lang w:val="en-US" w:eastAsia="zh-CN"/>
        </w:rPr>
        <w:t>中标人</w:t>
      </w:r>
      <w:r>
        <w:rPr>
          <w:rFonts w:hint="eastAsia" w:ascii="仿宋" w:hAnsi="仿宋" w:eastAsia="仿宋" w:cs="仿宋"/>
          <w:sz w:val="21"/>
          <w:szCs w:val="21"/>
        </w:rPr>
        <w:t>设备直到</w:t>
      </w:r>
      <w:r>
        <w:rPr>
          <w:rFonts w:hint="eastAsia" w:ascii="仿宋" w:hAnsi="仿宋" w:eastAsia="仿宋" w:cs="仿宋"/>
          <w:sz w:val="21"/>
          <w:szCs w:val="21"/>
          <w:lang w:val="en-US" w:eastAsia="zh-CN"/>
        </w:rPr>
        <w:t>采购人</w:t>
      </w:r>
      <w:r>
        <w:rPr>
          <w:rFonts w:hint="eastAsia" w:ascii="仿宋" w:hAnsi="仿宋" w:eastAsia="仿宋" w:cs="仿宋"/>
          <w:sz w:val="21"/>
          <w:szCs w:val="21"/>
        </w:rPr>
        <w:t>重新采购新设备可启用为止，所造成的一切损失由</w:t>
      </w:r>
      <w:r>
        <w:rPr>
          <w:rFonts w:hint="eastAsia" w:ascii="仿宋" w:hAnsi="仿宋" w:eastAsia="仿宋" w:cs="仿宋"/>
          <w:sz w:val="21"/>
          <w:szCs w:val="21"/>
          <w:lang w:val="en-US" w:eastAsia="zh-CN"/>
        </w:rPr>
        <w:t>中标人</w:t>
      </w:r>
      <w:r>
        <w:rPr>
          <w:rFonts w:hint="eastAsia" w:ascii="仿宋" w:hAnsi="仿宋" w:eastAsia="仿宋" w:cs="仿宋"/>
          <w:sz w:val="21"/>
          <w:szCs w:val="21"/>
        </w:rPr>
        <w:t>承担。</w:t>
      </w:r>
    </w:p>
    <w:p w14:paraId="492791A9">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6、采购人</w:t>
      </w:r>
      <w:r>
        <w:rPr>
          <w:rFonts w:hint="eastAsia" w:ascii="仿宋" w:hAnsi="仿宋" w:eastAsia="仿宋" w:cs="仿宋"/>
          <w:sz w:val="21"/>
          <w:szCs w:val="21"/>
        </w:rPr>
        <w:t>或</w:t>
      </w:r>
      <w:r>
        <w:rPr>
          <w:rFonts w:hint="eastAsia" w:ascii="仿宋" w:hAnsi="仿宋" w:eastAsia="仿宋" w:cs="仿宋"/>
          <w:sz w:val="21"/>
          <w:szCs w:val="21"/>
          <w:lang w:val="en-US" w:eastAsia="zh-CN"/>
        </w:rPr>
        <w:t>中标人</w:t>
      </w:r>
      <w:r>
        <w:rPr>
          <w:rFonts w:hint="eastAsia" w:ascii="仿宋" w:hAnsi="仿宋" w:eastAsia="仿宋" w:cs="仿宋"/>
          <w:sz w:val="21"/>
          <w:szCs w:val="21"/>
        </w:rPr>
        <w:t>均不得擅自无故终止本合同，如双方中的任何一方造成前述事实，则违约方将向另一方支付中途毁约违约金，金额为本合同总价的 30% 。</w:t>
      </w:r>
    </w:p>
    <w:p w14:paraId="7C8D1F0A">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7、</w:t>
      </w:r>
      <w:r>
        <w:rPr>
          <w:rFonts w:hint="eastAsia" w:ascii="仿宋" w:hAnsi="仿宋" w:eastAsia="仿宋" w:cs="仿宋"/>
          <w:sz w:val="21"/>
          <w:szCs w:val="21"/>
        </w:rPr>
        <w:t>因不可抗力造成违约的，可以免责，但违约方必须在72小时内及时提交相关书面报告材料通知另一方，减轻可能给对方造成损失，并应在不可抗力事件消除后的10天内提供在有关部门出具的证明给另一方，作为不可抗力的证明。违约方应尽一切努力减轻和克服不可抗力的影响，并在不可抗力事件后，继续履行合同职责。</w:t>
      </w:r>
    </w:p>
    <w:p w14:paraId="1EACBE01">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8、</w:t>
      </w:r>
      <w:r>
        <w:rPr>
          <w:rFonts w:hint="eastAsia" w:ascii="仿宋" w:hAnsi="仿宋" w:eastAsia="仿宋" w:cs="仿宋"/>
          <w:sz w:val="21"/>
          <w:szCs w:val="21"/>
        </w:rPr>
        <w:t>在明确违约责任后，中标人应在接到书面通知书起七天内支付违约金、赔偿金等。</w:t>
      </w:r>
    </w:p>
    <w:p w14:paraId="79E1614E">
      <w:pPr>
        <w:keepNext w:val="0"/>
        <w:keepLines w:val="0"/>
        <w:pageBreakBefore w:val="0"/>
        <w:widowControl/>
        <w:shd w:val="clear" w:color="auto"/>
        <w:kinsoku/>
        <w:wordWrap/>
        <w:overflowPunct/>
        <w:topLinePunct w:val="0"/>
        <w:autoSpaceDE/>
        <w:autoSpaceDN/>
        <w:bidi w:val="0"/>
        <w:adjustRightInd/>
        <w:spacing w:line="360" w:lineRule="auto"/>
        <w:jc w:val="left"/>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r>
        <w:rPr>
          <w:rFonts w:hint="eastAsia" w:ascii="仿宋" w:hAnsi="仿宋" w:eastAsia="仿宋" w:cs="仿宋"/>
          <w:sz w:val="21"/>
          <w:szCs w:val="21"/>
        </w:rPr>
        <w:t>合同争议处理方式：若发生争议，由</w:t>
      </w:r>
      <w:r>
        <w:rPr>
          <w:rFonts w:hint="eastAsia" w:ascii="仿宋" w:hAnsi="仿宋" w:eastAsia="仿宋" w:cs="仿宋"/>
          <w:sz w:val="21"/>
          <w:szCs w:val="21"/>
          <w:lang w:val="en-US" w:eastAsia="zh-CN"/>
        </w:rPr>
        <w:t>采购人和中标人</w:t>
      </w:r>
      <w:r>
        <w:rPr>
          <w:rFonts w:hint="eastAsia" w:ascii="仿宋" w:hAnsi="仿宋" w:eastAsia="仿宋" w:cs="仿宋"/>
          <w:sz w:val="21"/>
          <w:szCs w:val="21"/>
        </w:rPr>
        <w:t>双方友好协商解决，协商不成时，任何一方均可向</w:t>
      </w:r>
      <w:r>
        <w:rPr>
          <w:rFonts w:hint="eastAsia" w:ascii="仿宋" w:hAnsi="仿宋" w:eastAsia="仿宋" w:cs="仿宋"/>
          <w:sz w:val="21"/>
          <w:szCs w:val="21"/>
          <w:lang w:val="en-US" w:eastAsia="zh-CN"/>
        </w:rPr>
        <w:t>采购人所在</w:t>
      </w:r>
      <w:r>
        <w:rPr>
          <w:rFonts w:hint="eastAsia" w:ascii="仿宋" w:hAnsi="仿宋" w:eastAsia="仿宋" w:cs="仿宋"/>
          <w:sz w:val="21"/>
          <w:szCs w:val="21"/>
        </w:rPr>
        <w:t>地人民法院提起诉讼。</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15310BA6-E681-49F0-88AC-0560E29E7F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EB7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6E48F5">
                          <w:pPr>
                            <w:pStyle w:val="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3D6E48F5">
                    <w:pPr>
                      <w:pStyle w:val="5"/>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24725"/>
    <w:rsid w:val="03425930"/>
    <w:rsid w:val="042268D9"/>
    <w:rsid w:val="05653636"/>
    <w:rsid w:val="11737505"/>
    <w:rsid w:val="15703C76"/>
    <w:rsid w:val="18C36405"/>
    <w:rsid w:val="1B645E77"/>
    <w:rsid w:val="1C0F13A0"/>
    <w:rsid w:val="28E879CB"/>
    <w:rsid w:val="29DE589B"/>
    <w:rsid w:val="2C201183"/>
    <w:rsid w:val="346A08B7"/>
    <w:rsid w:val="377F0EA9"/>
    <w:rsid w:val="3860038E"/>
    <w:rsid w:val="3A202A16"/>
    <w:rsid w:val="3C59537C"/>
    <w:rsid w:val="3DFA733B"/>
    <w:rsid w:val="3E763CB0"/>
    <w:rsid w:val="3F056F36"/>
    <w:rsid w:val="461B7E6D"/>
    <w:rsid w:val="4ABE6667"/>
    <w:rsid w:val="4CBD45F6"/>
    <w:rsid w:val="507607F1"/>
    <w:rsid w:val="51224604"/>
    <w:rsid w:val="560441A3"/>
    <w:rsid w:val="5B7170A5"/>
    <w:rsid w:val="5BFC0188"/>
    <w:rsid w:val="64F24725"/>
    <w:rsid w:val="73411311"/>
    <w:rsid w:val="74AE3555"/>
    <w:rsid w:val="7AE50ECD"/>
    <w:rsid w:val="7FF07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unhideWhenUsed/>
    <w:qFormat/>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after="150"/>
      <w:jc w:val="left"/>
    </w:pPr>
    <w:rPr>
      <w:rFonts w:ascii="Calibri" w:hAnsi="Calibri" w:eastAsia="宋体" w:cs="Times New Roman"/>
      <w:kern w:val="0"/>
      <w:sz w:val="24"/>
      <w:szCs w:val="24"/>
    </w:rPr>
  </w:style>
  <w:style w:type="table" w:styleId="9">
    <w:name w:val="Table Grid"/>
    <w:basedOn w:val="8"/>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纯文本_7"/>
    <w:basedOn w:val="1"/>
    <w:qFormat/>
    <w:uiPriority w:val="0"/>
    <w:rPr>
      <w:rFonts w:ascii="宋体" w:hAnsi="Courier New"/>
      <w:kern w:val="0"/>
      <w:sz w:val="20"/>
      <w:szCs w:val="20"/>
    </w:rPr>
  </w:style>
  <w:style w:type="paragraph" w:styleId="12">
    <w:name w:val="List Paragraph"/>
    <w:basedOn w:val="1"/>
    <w:unhideWhenUsed/>
    <w:qFormat/>
    <w:uiPriority w:val="99"/>
    <w:pPr>
      <w:ind w:firstLine="420" w:firstLineChars="200"/>
    </w:pPr>
    <w:rPr>
      <w:rFonts w:ascii="Times New Roman" w:hAnsi="Times New Roman" w:eastAsia="宋体" w:cs="Times New Roman"/>
      <w:szCs w:val="24"/>
    </w:rPr>
  </w:style>
  <w:style w:type="paragraph" w:customStyle="1" w:styleId="13">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3418</Words>
  <Characters>3592</Characters>
  <Lines>0</Lines>
  <Paragraphs>0</Paragraphs>
  <TotalTime>1</TotalTime>
  <ScaleCrop>false</ScaleCrop>
  <LinksUpToDate>false</LinksUpToDate>
  <CharactersWithSpaces>3638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2025-10-16T08:54:00Z</dcterms:created>
  <dc:creator>安徒生</dc:creator>
  <cp:lastModifiedBy>WPS_1644419313</cp:lastModifiedBy>
  <dcterms:modified xsi:type="dcterms:W3CDTF">2026-08-25T09:05:17Z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5B71454C3A854B199C46AA0DE7777114_13</vt:lpwstr>
  </property>
  <property fmtid="{D5CDD505-2E9C-101B-9397-08002B2CF9AE}" pid="4" name="KSOTemplateDocerSaveRecord">
    <vt:lpwstr>eyJoZGlkIjoiOGU2ZmQ0Y2UxZWUwMmQzMzUxZTdhNmMwYzczMTFhNWUiLCJ1c2VySWQiOiIxMzMwMTQ3NTk4In0=</vt:lpwstr>
  </property>
</Properties>
</file>