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09181">
      <w:pPr>
        <w:spacing w:line="360" w:lineRule="auto"/>
        <w:jc w:val="left"/>
        <w:rPr>
          <w:rFonts w:asciiTheme="majorEastAsia" w:hAnsiTheme="majorEastAsia" w:eastAsiaTheme="majorEastAsia"/>
          <w:b/>
          <w:bCs/>
          <w:color w:val="000000"/>
          <w:sz w:val="28"/>
          <w:szCs w:val="28"/>
        </w:rPr>
      </w:pPr>
      <w:r>
        <w:rPr>
          <w:rFonts w:hint="eastAsia" w:asciiTheme="majorEastAsia" w:hAnsiTheme="majorEastAsia" w:eastAsiaTheme="majorEastAsia"/>
          <w:b/>
          <w:bCs/>
          <w:color w:val="000000"/>
          <w:sz w:val="28"/>
          <w:szCs w:val="28"/>
        </w:rPr>
        <w:t>附件A</w:t>
      </w:r>
    </w:p>
    <w:p w14:paraId="7DB7CBDF">
      <w:pPr>
        <w:spacing w:line="360" w:lineRule="auto"/>
        <w:jc w:val="center"/>
        <w:rPr>
          <w:rFonts w:asciiTheme="majorEastAsia" w:hAnsiTheme="majorEastAsia" w:eastAsiaTheme="majorEastAsia"/>
          <w:b/>
          <w:bCs/>
          <w:color w:val="000000"/>
          <w:sz w:val="28"/>
          <w:szCs w:val="28"/>
        </w:rPr>
      </w:pPr>
      <w:r>
        <w:rPr>
          <w:rFonts w:hint="eastAsia" w:asciiTheme="majorEastAsia" w:hAnsiTheme="majorEastAsia" w:eastAsiaTheme="majorEastAsia"/>
          <w:b/>
          <w:bCs/>
          <w:color w:val="000000"/>
          <w:sz w:val="28"/>
          <w:szCs w:val="28"/>
        </w:rPr>
        <w:t>中文图书项目规格参数与技术指标</w:t>
      </w:r>
    </w:p>
    <w:p w14:paraId="25D7499A">
      <w:pPr>
        <w:spacing w:line="360" w:lineRule="auto"/>
        <w:rPr>
          <w:rFonts w:asciiTheme="majorEastAsia" w:hAnsiTheme="majorEastAsia" w:eastAsiaTheme="majorEastAsia"/>
          <w:b/>
          <w:bCs/>
          <w:color w:val="000000"/>
          <w:sz w:val="24"/>
        </w:rPr>
      </w:pPr>
      <w:r>
        <w:rPr>
          <w:rFonts w:hint="eastAsia" w:asciiTheme="majorEastAsia" w:hAnsiTheme="majorEastAsia" w:eastAsiaTheme="majorEastAsia"/>
          <w:b/>
          <w:bCs/>
          <w:color w:val="000000"/>
          <w:sz w:val="24"/>
        </w:rPr>
        <w:t>一、概述</w:t>
      </w:r>
    </w:p>
    <w:p w14:paraId="285C5776">
      <w:pPr>
        <w:spacing w:line="360" w:lineRule="auto"/>
        <w:ind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1.1本项目为福建中医药大学图书馆2027年中文图书协议供货资格询价项目。</w:t>
      </w:r>
    </w:p>
    <w:p w14:paraId="70EFB019">
      <w:pPr>
        <w:spacing w:line="360" w:lineRule="auto"/>
        <w:ind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1.2 供货商在满足采购人对图书供应服务的基础上，承担相应的图书服务的费用。</w:t>
      </w:r>
    </w:p>
    <w:p w14:paraId="1CBF4C3B">
      <w:pPr>
        <w:spacing w:line="360" w:lineRule="auto"/>
        <w:ind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1.3 采购价说明：</w:t>
      </w:r>
    </w:p>
    <w:p w14:paraId="0BBB1E9F">
      <w:pPr>
        <w:spacing w:line="360" w:lineRule="auto"/>
        <w:ind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中文图书采购价均以人民币结算</w:t>
      </w:r>
    </w:p>
    <w:p w14:paraId="14FDB7F9">
      <w:pPr>
        <w:spacing w:line="360" w:lineRule="auto"/>
        <w:ind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中文图书采购价＝图书定价×（1-折扣率)</w:t>
      </w:r>
    </w:p>
    <w:p w14:paraId="30AD4066">
      <w:pPr>
        <w:spacing w:line="360" w:lineRule="auto"/>
        <w:ind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折扣率=（码洋-实洋）/ 码洋×100%</w:t>
      </w:r>
    </w:p>
    <w:p w14:paraId="23E8BA8E">
      <w:pPr>
        <w:spacing w:line="360" w:lineRule="auto"/>
        <w:rPr>
          <w:rFonts w:asciiTheme="majorEastAsia" w:hAnsiTheme="majorEastAsia" w:eastAsiaTheme="majorEastAsia"/>
          <w:b/>
          <w:bCs/>
          <w:color w:val="000000"/>
          <w:sz w:val="24"/>
        </w:rPr>
      </w:pPr>
      <w:r>
        <w:rPr>
          <w:rFonts w:hint="eastAsia" w:asciiTheme="majorEastAsia" w:hAnsiTheme="majorEastAsia" w:eastAsiaTheme="majorEastAsia"/>
          <w:b/>
          <w:bCs/>
          <w:color w:val="000000"/>
          <w:sz w:val="24"/>
        </w:rPr>
        <w:t>二、货物供应与服务要求</w:t>
      </w:r>
      <w:bookmarkStart w:id="0" w:name="_GoBack"/>
      <w:bookmarkEnd w:id="0"/>
    </w:p>
    <w:p w14:paraId="1A783B65">
      <w:pPr>
        <w:spacing w:line="360" w:lineRule="auto"/>
        <w:ind w:firstLine="354" w:firstLineChars="147"/>
        <w:rPr>
          <w:rFonts w:asciiTheme="majorEastAsia" w:hAnsiTheme="majorEastAsia" w:eastAsiaTheme="majorEastAsia"/>
          <w:b/>
          <w:bCs/>
          <w:color w:val="000000"/>
          <w:sz w:val="24"/>
        </w:rPr>
      </w:pPr>
      <w:r>
        <w:rPr>
          <w:rFonts w:hint="eastAsia" w:asciiTheme="majorEastAsia" w:hAnsiTheme="majorEastAsia" w:eastAsiaTheme="majorEastAsia"/>
          <w:b/>
          <w:bCs/>
          <w:color w:val="000000"/>
          <w:sz w:val="24"/>
        </w:rPr>
        <w:t>2.1采访书目数据要求</w:t>
      </w:r>
    </w:p>
    <w:p w14:paraId="6ACBE0CB">
      <w:pPr>
        <w:spacing w:line="360" w:lineRule="auto"/>
        <w:ind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2.1.1供货商应建有功能较完善，性能稳定的专业化图书电子商务网站,便于供需双方通过网络高效开展业务工作。</w:t>
      </w:r>
    </w:p>
    <w:p w14:paraId="46E3DDD0">
      <w:pPr>
        <w:spacing w:line="360" w:lineRule="auto"/>
        <w:ind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2.1.2供货商提供的书目信息学科覆盖面应符合采购人基本馆藏建设需求，以及学校各学科专业大学水平以上的专业图书文献需求，书目更新周期为7-10天。能提供采购人所要求的当年所有新书出版种类及图书销售排行榜书目（当当、亚马逊或高校等）。</w:t>
      </w:r>
    </w:p>
    <w:p w14:paraId="695CD6B8">
      <w:pPr>
        <w:spacing w:line="360" w:lineRule="auto"/>
        <w:ind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2.1.3供货商能提供完备的医药卫生类书目信息（年提供不低于5000种），同时能提供采购人要求时间段、要求出版社或要求类目等特殊书目信息。</w:t>
      </w:r>
    </w:p>
    <w:p w14:paraId="4E7439BF">
      <w:pPr>
        <w:spacing w:line="360" w:lineRule="auto"/>
        <w:ind w:left="1"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2.1.4供货商必须提供采购人所要求的Excel格式及CNMARC格式采访数据，CNMARC格式采访数据应保证与采购人所使用的图书馆服务平台无障碍使用。提供的采访数据字段应详细、准确，包括ISBN号、装帧、单价、书名、著者、版本、出版项、分类号、丛书名、附注、内容介绍、读者对象、页码、尺寸等图书基本信息。</w:t>
      </w:r>
    </w:p>
    <w:p w14:paraId="4823C939">
      <w:pPr>
        <w:spacing w:line="360" w:lineRule="auto"/>
        <w:ind w:left="1"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2.1.5供货商的采访数据质量是合同期内采购人订购量的重要依据。</w:t>
      </w:r>
    </w:p>
    <w:p w14:paraId="08F4F3D9">
      <w:pPr>
        <w:spacing w:line="360" w:lineRule="auto"/>
        <w:ind w:left="1" w:firstLine="361" w:firstLineChars="150"/>
        <w:rPr>
          <w:rFonts w:asciiTheme="majorEastAsia" w:hAnsiTheme="majorEastAsia" w:eastAsiaTheme="majorEastAsia"/>
          <w:b/>
          <w:bCs/>
          <w:color w:val="000000"/>
          <w:sz w:val="24"/>
        </w:rPr>
      </w:pPr>
      <w:r>
        <w:rPr>
          <w:rFonts w:hint="eastAsia" w:asciiTheme="majorEastAsia" w:hAnsiTheme="majorEastAsia" w:eastAsiaTheme="majorEastAsia"/>
          <w:b/>
          <w:bCs/>
          <w:color w:val="000000"/>
          <w:sz w:val="24"/>
        </w:rPr>
        <w:t>2.2供书</w:t>
      </w:r>
    </w:p>
    <w:p w14:paraId="03ABE35E">
      <w:pPr>
        <w:spacing w:line="360" w:lineRule="auto"/>
        <w:ind w:left="1"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2.2.1图书预订和现货采购</w:t>
      </w:r>
    </w:p>
    <w:p w14:paraId="0DD1E7B2">
      <w:pPr>
        <w:spacing w:line="360" w:lineRule="auto"/>
        <w:ind w:left="1"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（1）供货商应建立采购人的采访预订数据库，除增加复本情况外，对出现的以下几种情况要及时反馈核实：</w:t>
      </w:r>
    </w:p>
    <w:p w14:paraId="21A8D882">
      <w:pPr>
        <w:spacing w:line="360" w:lineRule="auto"/>
        <w:ind w:left="1"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①订单重复数据；</w:t>
      </w:r>
    </w:p>
    <w:p w14:paraId="6B7DA2D7">
      <w:pPr>
        <w:spacing w:line="360" w:lineRule="auto"/>
        <w:ind w:left="1"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②订单中复本量高出正常水平、定价太高、实际书价与书目书价不符（提供的信息与实际定价相差10元以上）；</w:t>
      </w:r>
    </w:p>
    <w:p w14:paraId="10FC49B4">
      <w:pPr>
        <w:spacing w:line="360" w:lineRule="auto"/>
        <w:ind w:left="1"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③因预订书目识别困难而圈选的不适合采购人入藏的图书；</w:t>
      </w:r>
    </w:p>
    <w:p w14:paraId="72BDADA7">
      <w:pPr>
        <w:spacing w:line="360" w:lineRule="auto"/>
        <w:ind w:left="1"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④书名和书号不符或有疑义，书名、版次发生变化等；</w:t>
      </w:r>
    </w:p>
    <w:p w14:paraId="19F6A6A3">
      <w:pPr>
        <w:spacing w:line="360" w:lineRule="auto"/>
        <w:ind w:left="1"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⑤套书缺订等情况。</w:t>
      </w:r>
    </w:p>
    <w:p w14:paraId="047B7885">
      <w:pPr>
        <w:spacing w:line="360" w:lineRule="auto"/>
        <w:ind w:left="1"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（2）供货商对采购人送达的图书订单应进行确认与邮件回复，所反馈的数据除必备项目外必须注明原报订数据的征订号。</w:t>
      </w:r>
    </w:p>
    <w:p w14:paraId="4F4D00A3">
      <w:pPr>
        <w:spacing w:line="360" w:lineRule="auto"/>
        <w:ind w:left="1"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3）预订未出版的图书至出版之日起或订购已出版的图书至报订之日起，到书周期在30天之内；现采图书至采完之日起，在20天之内送达采购人。全年图书订到率应在90%以上；对于采购人要求的重点出版社（见附录1）出版的图书订到率应在95%以上。供书差错率应低于3‰。供货商的到书率及差错率是合同期内采购人订购量的重要依据。</w:t>
      </w:r>
    </w:p>
    <w:p w14:paraId="44D63C12">
      <w:pPr>
        <w:spacing w:line="360" w:lineRule="auto"/>
        <w:ind w:left="1"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（4）对于采购人所需的医药卫生类专业图书或特殊要求图书，供货商在接收订单1个月内无法购到时，供货商应自行委托其他书商或通过其它渠道进行采购，以确保采购人的馆藏纸质资源建设。</w:t>
      </w:r>
    </w:p>
    <w:p w14:paraId="02C2926A">
      <w:pPr>
        <w:spacing w:line="360" w:lineRule="auto"/>
        <w:ind w:left="1"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（5）供货商应有临时、特殊订单的处理能力，急件在采购人规定的时间内快速处理。</w:t>
      </w:r>
    </w:p>
    <w:p w14:paraId="76D98F38">
      <w:pPr>
        <w:spacing w:line="360" w:lineRule="auto"/>
        <w:ind w:firstLine="472" w:firstLineChars="197"/>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2.2.2 图书配送及验收</w:t>
      </w:r>
    </w:p>
    <w:p w14:paraId="2A541104">
      <w:pPr>
        <w:spacing w:line="360" w:lineRule="auto"/>
        <w:ind w:left="94" w:leftChars="45" w:firstLine="240" w:firstLineChars="1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1）供货商应对发送的图书进行防湿和防破装卸要求的包装，提供要求地点的免费送书上门服务。在发送图书之前，供货商应预先用电话通知采购人，以便采购人准备接货。图书在到达采购人所在地前发生的不可预见的风险均由供货商负责。</w:t>
      </w:r>
    </w:p>
    <w:p w14:paraId="31D89273">
      <w:pPr>
        <w:spacing w:line="360" w:lineRule="auto"/>
        <w:ind w:firstLine="333" w:firstLineChars="139"/>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随送达图书应提供加盖供货商公章的与图书数量、品种、价格相符的该批图书总清单和分包清单（含批号、包号、征订号，每一品种的ISBN号、题名、复本册数、码洋单价、实洋单价及合计册数、总码洋、总实洋等项目）。</w:t>
      </w:r>
    </w:p>
    <w:p w14:paraId="065E4586">
      <w:pPr>
        <w:spacing w:line="360" w:lineRule="auto"/>
        <w:ind w:left="1" w:firstLine="357" w:firstLineChars="149"/>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3）所有图书的品种和复本数量均由采购人决定，供货商不得自行搭配和追加非采购人确认订购的品种或复本数量。图书品种、复本数量和随书光盘/磁盘/磁带等与订单不符时，无论是否已作前期加工，供货商必须无条件负责退换。</w:t>
      </w:r>
    </w:p>
    <w:p w14:paraId="656100D5">
      <w:pPr>
        <w:spacing w:line="360" w:lineRule="auto"/>
        <w:ind w:left="1" w:firstLine="357" w:firstLineChars="149"/>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4）采购人有权对存在以下情况的图书予以无条件退换：内容不符合我校教学科研需要和水平；装帧形式不符合要求（小于17cm的小开本图书；装订不规范的图书，如散订、活页等；挂图）；有质量问题的如污损、图文不清、缺页、倒页等；ISBN号、书名或其它有关信息与订购信息不符；图书入库流通1个月内出现散架等情况。</w:t>
      </w:r>
    </w:p>
    <w:p w14:paraId="4794A1CB">
      <w:pPr>
        <w:spacing w:line="360" w:lineRule="auto"/>
        <w:ind w:left="1"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（5）供货商必须保证销售正版图书</w:t>
      </w:r>
      <w:r>
        <w:rPr>
          <w:rFonts w:hint="eastAsia" w:asciiTheme="majorEastAsia" w:hAnsiTheme="majorEastAsia" w:eastAsiaTheme="majorEastAsia"/>
          <w:bCs/>
          <w:color w:val="auto"/>
          <w:sz w:val="24"/>
        </w:rPr>
        <w:t>，确保所供应图书的版本与进书来源合法，确保所供应图书符合</w:t>
      </w:r>
      <w:r>
        <w:rPr>
          <w:rFonts w:hint="eastAsia" w:ascii="宋体" w:hAnsi="宋体" w:cs="宋体"/>
          <w:sz w:val="24"/>
        </w:rPr>
        <w:t>意识形态管理相关要求，</w:t>
      </w:r>
      <w:r>
        <w:rPr>
          <w:rFonts w:hint="eastAsia" w:asciiTheme="majorEastAsia" w:hAnsiTheme="majorEastAsia" w:eastAsiaTheme="majorEastAsia"/>
          <w:bCs/>
          <w:sz w:val="24"/>
        </w:rPr>
        <w:t>并对所供应的图书版本、知识产权、进货来源承担相应的法律责任。若发现非法出版物和盗版图书，供货商必须无条件退货，同时，采购人无条件终止供货商的供货资格，由此产生的法律责任，由供货商负全责。</w:t>
      </w:r>
    </w:p>
    <w:p w14:paraId="4B3BF53F">
      <w:pPr>
        <w:spacing w:line="360" w:lineRule="auto"/>
        <w:ind w:firstLine="354" w:firstLineChars="147"/>
        <w:rPr>
          <w:rFonts w:asciiTheme="majorEastAsia" w:hAnsiTheme="majorEastAsia" w:eastAsiaTheme="majorEastAsia"/>
          <w:b/>
          <w:bCs/>
          <w:color w:val="000000"/>
          <w:sz w:val="24"/>
        </w:rPr>
      </w:pPr>
      <w:r>
        <w:rPr>
          <w:rFonts w:hint="eastAsia" w:asciiTheme="majorEastAsia" w:hAnsiTheme="majorEastAsia" w:eastAsiaTheme="majorEastAsia"/>
          <w:b/>
          <w:bCs/>
          <w:color w:val="000000"/>
          <w:sz w:val="24"/>
        </w:rPr>
        <w:t>2.3 图书编目</w:t>
      </w:r>
    </w:p>
    <w:p w14:paraId="4DBB0267">
      <w:pPr>
        <w:spacing w:line="360" w:lineRule="auto"/>
        <w:ind w:left="1"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2.3.1供货商必须提供符合国家图书馆编目标准的CNMARC格式编目数据，保证与采购人所使用的图书馆服务平台</w:t>
      </w:r>
      <w:r>
        <w:rPr>
          <w:rFonts w:hint="eastAsia" w:asciiTheme="majorEastAsia" w:hAnsiTheme="majorEastAsia" w:eastAsiaTheme="majorEastAsia" w:cstheme="minorBidi"/>
          <w:bCs/>
          <w:color w:val="auto"/>
          <w:kern w:val="0"/>
          <w:sz w:val="24"/>
          <w:szCs w:val="20"/>
        </w:rPr>
        <w:t>实行</w:t>
      </w:r>
      <w:r>
        <w:rPr>
          <w:rFonts w:hint="eastAsia" w:asciiTheme="majorEastAsia" w:hAnsiTheme="majorEastAsia" w:eastAsiaTheme="majorEastAsia"/>
          <w:bCs/>
          <w:color w:val="000000"/>
          <w:sz w:val="24"/>
        </w:rPr>
        <w:t>无障碍使用。</w:t>
      </w:r>
    </w:p>
    <w:p w14:paraId="1822BDAD">
      <w:pPr>
        <w:spacing w:line="360" w:lineRule="auto"/>
        <w:ind w:left="1" w:firstLine="360" w:firstLineChars="15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2.3.2供货商应依据《中国图书馆分类法》（第五版）及采购人分类编目细则对编目数据作相应的更改及特殊处理，具体内容如下：</w:t>
      </w:r>
    </w:p>
    <w:p w14:paraId="4E3AC7DC">
      <w:pPr>
        <w:spacing w:line="360" w:lineRule="auto"/>
        <w:ind w:firstLine="240" w:firstLineChars="1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（1）分类要求</w:t>
      </w:r>
    </w:p>
    <w:p w14:paraId="0C20242D">
      <w:pPr>
        <w:pStyle w:val="19"/>
        <w:numPr>
          <w:ilvl w:val="0"/>
          <w:numId w:val="1"/>
        </w:numPr>
        <w:spacing w:line="360" w:lineRule="auto"/>
        <w:ind w:firstLineChars="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涉及中西医结合内容的图书入“R2中国医学”相关各类。</w:t>
      </w:r>
    </w:p>
    <w:p w14:paraId="34D4B305">
      <w:pPr>
        <w:spacing w:line="360" w:lineRule="auto"/>
        <w:ind w:left="1" w:firstLine="410" w:firstLineChars="171"/>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②启用中图法R类（医药卫生类）“[]”里的相关类号，例如：启用[R19-019]卫生保健法令类目，不入该类号下提示的宜入D9有关各类；启用[R282.2]类目，不入该类号下提示的宜入S567；启用[R34]人体生物化学、分子生物学类目，不入该类号下提示的宜入Q5及Q7，等等。</w:t>
      </w:r>
    </w:p>
    <w:p w14:paraId="0B5FB613">
      <w:pPr>
        <w:spacing w:line="360" w:lineRule="auto"/>
        <w:ind w:left="1" w:firstLine="410" w:firstLineChars="171"/>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③关于组配复分，只须组配到一级类目，例：H319.4:R、Z88:K等。</w:t>
      </w:r>
    </w:p>
    <w:p w14:paraId="66BBB61D">
      <w:pPr>
        <w:spacing w:line="360" w:lineRule="auto"/>
        <w:ind w:left="1" w:firstLine="410" w:firstLineChars="171"/>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④医药卫生类图书是教材的，应复分，例：R2-43。</w:t>
      </w:r>
    </w:p>
    <w:p w14:paraId="0B2A0B32">
      <w:pPr>
        <w:spacing w:line="360" w:lineRule="auto"/>
        <w:ind w:firstLine="240" w:firstLineChars="1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（2）特殊字段处理要求：</w:t>
      </w:r>
    </w:p>
    <w:p w14:paraId="5EA04AE1">
      <w:pPr>
        <w:spacing w:line="360" w:lineRule="auto"/>
        <w:ind w:firstLine="424" w:firstLineChars="177"/>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①如果是丛书，头标区应著录为oam2。</w:t>
      </w:r>
    </w:p>
    <w:p w14:paraId="799083F4">
      <w:pPr>
        <w:spacing w:line="360" w:lineRule="auto"/>
        <w:ind w:firstLine="424" w:firstLineChars="177"/>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②100字段字符集应著录为0110。</w:t>
      </w:r>
    </w:p>
    <w:p w14:paraId="235B40E1">
      <w:pPr>
        <w:spacing w:line="360" w:lineRule="auto"/>
        <w:ind w:firstLine="424" w:firstLineChars="177"/>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③书中配有光盘，</w:t>
      </w:r>
      <w:r>
        <w:rPr>
          <w:rFonts w:hint="eastAsia"/>
        </w:rPr>
        <w:fldChar w:fldCharType="begin"/>
      </w:r>
      <w:r>
        <w:instrText xml:space="preserve"> HYPERLINK "mailto:应在010字段@d子字段价格后面著录"</w:instrText>
      </w:r>
      <w:r>
        <w:rPr>
          <w:rFonts w:hint="eastAsia"/>
        </w:rPr>
        <w:fldChar w:fldCharType="separate"/>
      </w:r>
      <w:r>
        <w:rPr>
          <w:rFonts w:hint="eastAsia" w:asciiTheme="majorEastAsia" w:hAnsiTheme="majorEastAsia" w:eastAsiaTheme="majorEastAsia"/>
          <w:bCs/>
          <w:color w:val="000000"/>
          <w:sz w:val="24"/>
        </w:rPr>
        <w:t>应在010字段@d子字段价格后面著录“含</w:t>
      </w:r>
      <w:r>
        <w:rPr>
          <w:rFonts w:hint="eastAsia" w:asciiTheme="majorEastAsia" w:hAnsiTheme="majorEastAsia" w:eastAsiaTheme="majorEastAsia"/>
          <w:bCs/>
          <w:color w:val="000000"/>
          <w:sz w:val="24"/>
        </w:rPr>
        <w:fldChar w:fldCharType="end"/>
      </w:r>
      <w:r>
        <w:rPr>
          <w:rFonts w:hint="eastAsia" w:asciiTheme="majorEastAsia" w:hAnsiTheme="majorEastAsia" w:eastAsiaTheme="majorEastAsia"/>
          <w:bCs/>
          <w:color w:val="000000"/>
          <w:sz w:val="24"/>
        </w:rPr>
        <w:t>光盘”，215字段@e子字段应著录“光盘N张”，同时应在307字段著录光盘的ISBN号。</w:t>
      </w:r>
    </w:p>
    <w:p w14:paraId="387E076C">
      <w:pPr>
        <w:spacing w:line="360" w:lineRule="auto"/>
        <w:ind w:firstLine="424" w:firstLineChars="177"/>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④010字段@d子字段价格应与图书标价相符。另如一套图书只有一个ISBN号且只有总价的，应按一套书著录做成一条数据，不必分开做成多条数据；如一套图书中每种书各自有不同的价格，则分开著录。</w:t>
      </w:r>
    </w:p>
    <w:p w14:paraId="4129AF41">
      <w:pPr>
        <w:spacing w:line="360" w:lineRule="auto"/>
        <w:ind w:firstLine="424" w:firstLineChars="177"/>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⑤200字段正题名标点、符号、数字、字母、汉语拼音及其语法作用的空格都须照录，著录时依各文种的语法习惯处理，汉字空两个字节，英文空一个字节；汉字与单词(或字母)之间不得空格，如国家图书馆数据有错必须修改；中文姓名只有2个字之间不要空格；中文图书责任者应按书名页上的著者数</w:t>
      </w:r>
      <w:r>
        <w:rPr>
          <w:rFonts w:hint="eastAsia" w:asciiTheme="majorEastAsia" w:hAnsiTheme="majorEastAsia" w:eastAsiaTheme="majorEastAsia"/>
          <w:bCs/>
          <w:color w:val="000000"/>
          <w:sz w:val="24"/>
          <w:lang w:eastAsia="zh-CN"/>
        </w:rPr>
        <w:t>如</w:t>
      </w:r>
      <w:r>
        <w:rPr>
          <w:rFonts w:hint="eastAsia" w:asciiTheme="majorEastAsia" w:hAnsiTheme="majorEastAsia" w:eastAsiaTheme="majorEastAsia"/>
          <w:bCs/>
          <w:color w:val="000000"/>
          <w:sz w:val="24"/>
        </w:rPr>
        <w:t>数著录。</w:t>
      </w:r>
    </w:p>
    <w:p w14:paraId="4D60C11C">
      <w:pPr>
        <w:spacing w:line="360" w:lineRule="auto"/>
        <w:ind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⑥320字段：应著录索引或文献，例：320@</w:t>
      </w:r>
      <w:r>
        <w:rPr>
          <w:rFonts w:hint="eastAsia" w:asciiTheme="majorEastAsia" w:hAnsiTheme="majorEastAsia" w:eastAsiaTheme="majorEastAsia"/>
          <w:bCs/>
          <w:color w:val="000000"/>
          <w:sz w:val="24"/>
        </w:rPr>
        <w:softHyphen/>
      </w:r>
      <w:r>
        <w:rPr>
          <w:rFonts w:hint="eastAsia" w:asciiTheme="majorEastAsia" w:hAnsiTheme="majorEastAsia" w:eastAsiaTheme="majorEastAsia"/>
          <w:bCs/>
          <w:color w:val="000000"/>
          <w:sz w:val="24"/>
        </w:rPr>
        <w:t>a有书目与索引。</w:t>
      </w:r>
    </w:p>
    <w:p w14:paraId="5641F519">
      <w:pPr>
        <w:spacing w:line="360" w:lineRule="auto"/>
        <w:ind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⑦每种图书均应著录330字段（小说、诗歌、散文等文学类图书可不著录）。</w:t>
      </w:r>
    </w:p>
    <w:p w14:paraId="3A1A7B6A">
      <w:pPr>
        <w:spacing w:line="360" w:lineRule="auto"/>
        <w:ind w:firstLine="477" w:firstLineChars="199"/>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⑧外文并列题名：如果书名页中有外文并列题名，</w:t>
      </w:r>
      <w:r>
        <w:fldChar w:fldCharType="begin"/>
      </w:r>
      <w:r>
        <w:instrText xml:space="preserve"> HYPERLINK "mailto:应在200字段@d子字" </w:instrText>
      </w:r>
      <w:r>
        <w:fldChar w:fldCharType="separate"/>
      </w:r>
      <w:r>
        <w:rPr>
          <w:rFonts w:hint="eastAsia" w:asciiTheme="majorEastAsia" w:hAnsiTheme="majorEastAsia" w:eastAsiaTheme="majorEastAsia"/>
          <w:bCs/>
          <w:color w:val="000000"/>
          <w:sz w:val="24"/>
        </w:rPr>
        <w:t>应在200字段@d子字</w:t>
      </w:r>
      <w:r>
        <w:rPr>
          <w:rFonts w:hint="eastAsia" w:asciiTheme="majorEastAsia" w:hAnsiTheme="majorEastAsia" w:eastAsiaTheme="majorEastAsia"/>
          <w:bCs/>
          <w:color w:val="000000"/>
          <w:sz w:val="24"/>
        </w:rPr>
        <w:fldChar w:fldCharType="end"/>
      </w:r>
      <w:r>
        <w:rPr>
          <w:rFonts w:hint="eastAsia" w:asciiTheme="majorEastAsia" w:hAnsiTheme="majorEastAsia" w:eastAsiaTheme="majorEastAsia"/>
          <w:bCs/>
          <w:color w:val="000000"/>
          <w:sz w:val="24"/>
        </w:rPr>
        <w:t>段（不需加“=”）和510字段同时著录。如果书名页中没有外文并列题名，则只须著录在510字段。</w:t>
      </w:r>
    </w:p>
    <w:p w14:paraId="27130FEC">
      <w:pPr>
        <w:spacing w:line="360" w:lineRule="auto"/>
        <w:ind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⑨7_字段著录中文图书责任者应按书名页上的著者数如数著录；7_字段著录外国个人责任者时，分别做2个7字段；第一个著录汉译名，第二个著录外文原名，著录时必须倒序或直序均可。</w:t>
      </w:r>
    </w:p>
    <w:p w14:paraId="24BE04D0">
      <w:pPr>
        <w:spacing w:line="360" w:lineRule="auto"/>
        <w:ind w:firstLine="477" w:firstLineChars="199"/>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⑩生成拼音字段：200字段@a，225字段@a，606字段@a，517字段，701字段@a， 702@a，711字段@a，712字段@a。</w:t>
      </w:r>
    </w:p>
    <w:p w14:paraId="36BFCACD">
      <w:pPr>
        <w:spacing w:line="360" w:lineRule="auto"/>
        <w:ind w:firstLine="477" w:firstLineChars="199"/>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2.3.3凡所有订购的图书均应随书免费配送符合国家图书馆编目标准的CNMARC格式编目数据，发送到采购人要求的邮箱。</w:t>
      </w:r>
    </w:p>
    <w:p w14:paraId="0016FDB3">
      <w:pPr>
        <w:spacing w:line="360" w:lineRule="auto"/>
        <w:ind w:firstLine="477" w:firstLineChars="199"/>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2.3.4供货商的编目数据质量是合同期内采购人订购量的重要依据。</w:t>
      </w:r>
    </w:p>
    <w:p w14:paraId="1A9611E4">
      <w:pPr>
        <w:spacing w:line="360" w:lineRule="auto"/>
        <w:ind w:firstLine="472" w:firstLineChars="196"/>
        <w:rPr>
          <w:rFonts w:asciiTheme="majorEastAsia" w:hAnsiTheme="majorEastAsia" w:eastAsiaTheme="majorEastAsia"/>
          <w:b/>
          <w:bCs/>
          <w:color w:val="000000"/>
          <w:sz w:val="24"/>
        </w:rPr>
      </w:pPr>
      <w:r>
        <w:rPr>
          <w:rFonts w:hint="eastAsia" w:asciiTheme="majorEastAsia" w:hAnsiTheme="majorEastAsia" w:eastAsiaTheme="majorEastAsia"/>
          <w:b/>
          <w:bCs/>
          <w:color w:val="000000"/>
          <w:sz w:val="24"/>
        </w:rPr>
        <w:t>2.4服务及保障</w:t>
      </w:r>
    </w:p>
    <w:p w14:paraId="0F4BB106">
      <w:pPr>
        <w:spacing w:line="360" w:lineRule="auto"/>
        <w:ind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2.4.1供货商负责提供符合采购人要求的与图书采购册数相配套的图书加工材料，包括：符合采购人要求的RFID芯片、书标（1册图书2张书标）、书标透明覆膜、条形码（1册图书2张条形码）、光盘盒、碳带等，如不符合要求无条件退换。</w:t>
      </w:r>
    </w:p>
    <w:p w14:paraId="72EDDB6F">
      <w:pPr>
        <w:spacing w:line="360" w:lineRule="auto"/>
        <w:ind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2.4.2供货商应保证采购人所采购的到馆图书中无任何磁条或芯片。</w:t>
      </w:r>
    </w:p>
    <w:p w14:paraId="09768833">
      <w:pPr>
        <w:spacing w:line="360" w:lineRule="auto"/>
        <w:ind w:left="1" w:firstLine="480" w:firstLineChars="200"/>
        <w:rPr>
          <w:rFonts w:asciiTheme="majorEastAsia" w:hAnsiTheme="majorEastAsia" w:eastAsiaTheme="majorEastAsia"/>
          <w:bCs/>
          <w:color w:val="0000FF"/>
          <w:sz w:val="24"/>
        </w:rPr>
      </w:pPr>
      <w:r>
        <w:rPr>
          <w:rFonts w:hint="eastAsia" w:asciiTheme="majorEastAsia" w:hAnsiTheme="majorEastAsia" w:eastAsiaTheme="majorEastAsia"/>
          <w:bCs/>
          <w:color w:val="000000"/>
          <w:sz w:val="24"/>
        </w:rPr>
        <w:t>2.4.3供货商在满足图书供应等商务要求的基础上，免费提供图书的编目、加工等服务。供货商应共同委托一家数据加工商到馆加工，并确保受委托数据加工商及时完成相关工作，所派到馆编目、加工人员有相应工作资质并保持人员稳定。</w:t>
      </w:r>
    </w:p>
    <w:p w14:paraId="13F3B1C4">
      <w:pPr>
        <w:spacing w:line="360" w:lineRule="auto"/>
        <w:ind w:left="1"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2.4.4供货商对订单中无法购得或推迟出版的图书须在订单报订之日起3个月内反馈给采购人，以书面形式说明原因，并尽快补充未到图书。同时提供已确认无法到书清单，之后若再到书则采购人不予接收。对于报订半年后还未到的图书，采购人有权取消供货商订单。</w:t>
      </w:r>
    </w:p>
    <w:p w14:paraId="60443F21">
      <w:pPr>
        <w:spacing w:line="360" w:lineRule="auto"/>
        <w:ind w:left="1"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2.4.5如采购人需要，供货商应</w:t>
      </w:r>
      <w:r>
        <w:rPr>
          <w:rFonts w:ascii="宋体" w:hAnsi="宋体" w:cs="宋体"/>
          <w:kern w:val="0"/>
          <w:sz w:val="24"/>
        </w:rPr>
        <w:t>按实际采购册数</w:t>
      </w:r>
      <w:r>
        <w:rPr>
          <w:rFonts w:asciiTheme="majorEastAsia" w:hAnsiTheme="majorEastAsia" w:eastAsiaTheme="majorEastAsia" w:cstheme="minorBidi"/>
          <w:bCs/>
          <w:color w:val="auto"/>
          <w:kern w:val="0"/>
          <w:sz w:val="24"/>
          <w:szCs w:val="20"/>
        </w:rPr>
        <w:t>2:1</w:t>
      </w:r>
      <w:r>
        <w:rPr>
          <w:rFonts w:ascii="宋体" w:hAnsi="宋体" w:cs="宋体"/>
          <w:kern w:val="0"/>
          <w:sz w:val="24"/>
        </w:rPr>
        <w:t>的比例</w:t>
      </w:r>
      <w:r>
        <w:rPr>
          <w:rFonts w:hint="eastAsia" w:asciiTheme="majorEastAsia" w:hAnsiTheme="majorEastAsia" w:eastAsiaTheme="majorEastAsia"/>
          <w:bCs/>
          <w:color w:val="000000"/>
          <w:sz w:val="24"/>
        </w:rPr>
        <w:t>免费为采购人加工其他图书（未编目的捐赠图书）（内容同2.4.3），并提供加工材料（内容同2.4.1）；或者免费为采购人加工旧书（已编目加工的图书），旧书提供打印密集排架号、在图书馆服务平台上生成密集排架号、整理上架等，并提供打印密集排架号所使用的标签及覆膜。</w:t>
      </w:r>
    </w:p>
    <w:p w14:paraId="5A10E074">
      <w:pPr>
        <w:spacing w:line="360" w:lineRule="auto"/>
        <w:rPr>
          <w:rFonts w:asciiTheme="majorEastAsia" w:hAnsiTheme="majorEastAsia" w:eastAsiaTheme="majorEastAsia"/>
          <w:b/>
          <w:bCs/>
          <w:color w:val="000000"/>
          <w:sz w:val="24"/>
        </w:rPr>
      </w:pPr>
      <w:r>
        <w:rPr>
          <w:rFonts w:hint="eastAsia" w:asciiTheme="majorEastAsia" w:hAnsiTheme="majorEastAsia" w:eastAsiaTheme="majorEastAsia"/>
          <w:b/>
          <w:bCs/>
          <w:color w:val="000000"/>
          <w:sz w:val="24"/>
        </w:rPr>
        <w:t>三、结算及付款方式</w:t>
      </w:r>
    </w:p>
    <w:p w14:paraId="4AAF86C1">
      <w:pPr>
        <w:spacing w:line="360" w:lineRule="auto"/>
        <w:ind w:left="1" w:firstLine="472" w:firstLineChars="197"/>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 xml:space="preserve">3.1 货到经采购人验收合格，办妥差、错图书的退书手续后，按实洋结算。供货商开具的发票应符合国家财税法律规定要求，备注注明册数、码洋数、折扣。 </w:t>
      </w:r>
    </w:p>
    <w:p w14:paraId="645A9BF0">
      <w:pPr>
        <w:spacing w:line="360" w:lineRule="auto"/>
        <w:ind w:left="1"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3.2供货商在之前与采购人已有业务关系者，签订新合同之后的到书按新合同的规定结算。</w:t>
      </w:r>
    </w:p>
    <w:p w14:paraId="0AB0E5FC">
      <w:pPr>
        <w:spacing w:line="360" w:lineRule="auto"/>
        <w:rPr>
          <w:rFonts w:asciiTheme="majorEastAsia" w:hAnsiTheme="majorEastAsia" w:eastAsiaTheme="majorEastAsia"/>
          <w:b/>
          <w:bCs/>
          <w:color w:val="000000"/>
          <w:sz w:val="24"/>
        </w:rPr>
      </w:pPr>
      <w:r>
        <w:rPr>
          <w:rFonts w:hint="eastAsia" w:asciiTheme="majorEastAsia" w:hAnsiTheme="majorEastAsia" w:eastAsiaTheme="majorEastAsia"/>
          <w:b/>
          <w:bCs/>
          <w:color w:val="000000"/>
          <w:sz w:val="24"/>
        </w:rPr>
        <w:t>四、履约保证金及违约责任</w:t>
      </w:r>
    </w:p>
    <w:p w14:paraId="55631B1A">
      <w:pPr>
        <w:spacing w:line="360" w:lineRule="auto"/>
        <w:ind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4.1</w:t>
      </w:r>
      <w:r>
        <w:rPr>
          <w:rFonts w:hint="eastAsia" w:ascii="宋体" w:hAnsi="宋体"/>
          <w:bCs/>
          <w:color w:val="000000"/>
          <w:sz w:val="24"/>
        </w:rPr>
        <w:t>供货商须在合同签订前交纳采购人要求的履约保证金，汇入采购人要求账户。在合同期内未出现违约现象，合同到期时无息退还。如发生违约现象，从履约保证金中扣除相应金额的违约金；若发生严重违约现象，则不予退还履约保证金。</w:t>
      </w:r>
    </w:p>
    <w:p w14:paraId="30D4034C">
      <w:pPr>
        <w:spacing w:line="360" w:lineRule="auto"/>
        <w:ind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4.2</w:t>
      </w:r>
      <w:r>
        <w:rPr>
          <w:rFonts w:hint="eastAsia" w:asciiTheme="majorEastAsia" w:hAnsiTheme="majorEastAsia" w:eastAsiaTheme="majorEastAsia"/>
          <w:bCs/>
          <w:color w:val="auto"/>
          <w:sz w:val="24"/>
        </w:rPr>
        <w:t>供货商保证图书订到率为90%，</w:t>
      </w:r>
      <w:r>
        <w:rPr>
          <w:rFonts w:hint="eastAsia" w:asciiTheme="majorEastAsia" w:hAnsiTheme="majorEastAsia" w:eastAsiaTheme="majorEastAsia"/>
          <w:bCs/>
          <w:color w:val="000000"/>
          <w:sz w:val="24"/>
        </w:rPr>
        <w:t>每低一个百分点，则相应扣除履约保证</w:t>
      </w:r>
      <w:r>
        <w:rPr>
          <w:rFonts w:hint="eastAsia" w:asciiTheme="majorEastAsia" w:hAnsiTheme="majorEastAsia" w:eastAsiaTheme="majorEastAsia"/>
          <w:bCs/>
          <w:sz w:val="24"/>
        </w:rPr>
        <w:t>金100</w:t>
      </w:r>
      <w:r>
        <w:rPr>
          <w:rFonts w:hint="eastAsia" w:asciiTheme="majorEastAsia" w:hAnsiTheme="majorEastAsia" w:eastAsiaTheme="majorEastAsia"/>
          <w:bCs/>
          <w:color w:val="000000"/>
          <w:sz w:val="24"/>
        </w:rPr>
        <w:t>元。</w:t>
      </w:r>
    </w:p>
    <w:p w14:paraId="3F61A88C">
      <w:pPr>
        <w:spacing w:line="360" w:lineRule="auto"/>
        <w:ind w:firstLine="480" w:firstLineChars="200"/>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4.3</w:t>
      </w:r>
      <w:r>
        <w:rPr>
          <w:rFonts w:hint="eastAsia" w:ascii="宋体" w:hAnsi="宋体"/>
          <w:bCs/>
          <w:color w:val="auto"/>
          <w:sz w:val="24"/>
        </w:rPr>
        <w:t>供货商应按采购人的</w:t>
      </w:r>
      <w:r>
        <w:rPr>
          <w:rFonts w:hint="eastAsia" w:ascii="宋体" w:hAnsi="宋体" w:cs="宋体"/>
          <w:bCs/>
          <w:color w:val="auto"/>
          <w:sz w:val="24"/>
        </w:rPr>
        <w:t>纸质资源验收加工入库工作流程和</w:t>
      </w:r>
      <w:r>
        <w:rPr>
          <w:rFonts w:hint="eastAsia" w:ascii="宋体" w:hAnsi="宋体" w:cs="宋体"/>
          <w:color w:val="auto"/>
          <w:sz w:val="24"/>
        </w:rPr>
        <w:t>文献编目细则</w:t>
      </w:r>
      <w:r>
        <w:rPr>
          <w:rFonts w:hint="eastAsia" w:ascii="宋体" w:hAnsi="宋体" w:cs="宋体"/>
          <w:bCs/>
          <w:color w:val="auto"/>
          <w:sz w:val="24"/>
        </w:rPr>
        <w:t>完成相关工作</w:t>
      </w:r>
      <w:r>
        <w:rPr>
          <w:rFonts w:hint="eastAsia" w:ascii="宋体" w:hAnsi="宋体"/>
          <w:bCs/>
          <w:color w:val="auto"/>
          <w:sz w:val="24"/>
        </w:rPr>
        <w:t>，每一批次图书差错率（差错率=每一批图书差错种数/每一批图书总种数）不得超过</w:t>
      </w:r>
      <w:r>
        <w:rPr>
          <w:rFonts w:hint="eastAsia" w:asciiTheme="majorEastAsia" w:hAnsiTheme="majorEastAsia" w:eastAsiaTheme="majorEastAsia"/>
          <w:bCs/>
          <w:color w:val="auto"/>
          <w:sz w:val="24"/>
        </w:rPr>
        <w:t>0.1%</w:t>
      </w:r>
      <w:r>
        <w:rPr>
          <w:rFonts w:hint="eastAsia" w:ascii="宋体" w:hAnsi="宋体"/>
          <w:bCs/>
          <w:color w:val="auto"/>
          <w:sz w:val="24"/>
        </w:rPr>
        <w:t>，超过</w:t>
      </w:r>
      <w:r>
        <w:rPr>
          <w:rFonts w:hint="eastAsia" w:ascii="宋体" w:hAnsi="宋体"/>
          <w:bCs/>
          <w:color w:val="000000"/>
          <w:sz w:val="24"/>
        </w:rPr>
        <w:t>则按每条壹元支付违约金，违约金从履约保证金和图书结算款（保证金扣完后）中扣除。</w:t>
      </w:r>
    </w:p>
    <w:p w14:paraId="7EF7DEAE">
      <w:pPr>
        <w:spacing w:line="360" w:lineRule="auto"/>
        <w:rPr>
          <w:rFonts w:asciiTheme="majorEastAsia" w:hAnsiTheme="majorEastAsia" w:eastAsiaTheme="majorEastAsia"/>
          <w:bCs/>
          <w:color w:val="000000"/>
          <w:sz w:val="24"/>
        </w:rPr>
      </w:pPr>
      <w:r>
        <w:rPr>
          <w:rFonts w:hint="eastAsia" w:asciiTheme="majorEastAsia" w:hAnsiTheme="majorEastAsia" w:eastAsiaTheme="majorEastAsia"/>
          <w:bCs/>
          <w:color w:val="000000"/>
          <w:sz w:val="24"/>
        </w:rPr>
        <w:t xml:space="preserve">    4.4</w:t>
      </w:r>
      <w:r>
        <w:rPr>
          <w:rFonts w:hint="eastAsia" w:ascii="宋体" w:hAnsi="宋体"/>
          <w:bCs/>
          <w:color w:val="000000"/>
          <w:sz w:val="24"/>
        </w:rPr>
        <w:t>供货商应保证按采购人所要求的图书品种及复本数量供书，不得自行搭配和追加非采购人确认订购的品种和复本数量的图书，如有违反，供货商必须无条件退货。</w:t>
      </w:r>
    </w:p>
    <w:p w14:paraId="5BC67E9D">
      <w:pPr>
        <w:spacing w:line="360" w:lineRule="auto"/>
        <w:ind w:left="1" w:firstLine="480" w:firstLineChars="200"/>
        <w:rPr>
          <w:rFonts w:asciiTheme="majorEastAsia" w:hAnsiTheme="majorEastAsia" w:eastAsiaTheme="majorEastAsia"/>
          <w:sz w:val="24"/>
        </w:rPr>
      </w:pPr>
      <w:r>
        <w:rPr>
          <w:rFonts w:hint="eastAsia" w:asciiTheme="majorEastAsia" w:hAnsiTheme="majorEastAsia" w:eastAsiaTheme="majorEastAsia"/>
          <w:bCs/>
          <w:color w:val="000000"/>
          <w:sz w:val="24"/>
        </w:rPr>
        <w:t>4.5</w:t>
      </w:r>
      <w:r>
        <w:rPr>
          <w:rFonts w:hint="eastAsia" w:ascii="宋体" w:hAnsi="宋体"/>
          <w:bCs/>
          <w:color w:val="000000"/>
          <w:sz w:val="24"/>
        </w:rPr>
        <w:t>供货商必须保证销售正版图书，应保证所供应图书的版本与进书来源合法，并对所供应的图书版本、知识产权、进货来源承担相应的法律责任。若发现非法出版物和盗版图书，供货商必须无条件退货，同时，采购人无条件终止供货商的供货资格，由此产生的法律责任，由供货商负全责。</w:t>
      </w:r>
    </w:p>
    <w:p w14:paraId="529CF5EF">
      <w:pPr>
        <w:spacing w:line="360" w:lineRule="auto"/>
        <w:rPr>
          <w:rFonts w:asciiTheme="majorEastAsia" w:hAnsiTheme="majorEastAsia" w:eastAsiaTheme="majorEastAsia"/>
          <w:sz w:val="24"/>
        </w:rPr>
      </w:pPr>
    </w:p>
    <w:p w14:paraId="794EA9DD">
      <w:pPr>
        <w:spacing w:line="360" w:lineRule="auto"/>
        <w:rPr>
          <w:rFonts w:asciiTheme="majorEastAsia" w:hAnsiTheme="majorEastAsia" w:eastAsiaTheme="majorEastAsia"/>
          <w:b/>
          <w:bCs/>
          <w:color w:val="000000"/>
          <w:sz w:val="24"/>
        </w:rPr>
      </w:pPr>
      <w:r>
        <w:rPr>
          <w:rFonts w:asciiTheme="majorEastAsia" w:hAnsiTheme="majorEastAsia" w:eastAsiaTheme="majorEastAsia"/>
          <w:b/>
          <w:bCs/>
          <w:color w:val="000000"/>
          <w:sz w:val="24"/>
        </w:rPr>
        <w:t>附</w:t>
      </w:r>
      <w:r>
        <w:rPr>
          <w:rFonts w:hint="eastAsia" w:asciiTheme="majorEastAsia" w:hAnsiTheme="majorEastAsia" w:eastAsiaTheme="majorEastAsia"/>
          <w:b/>
          <w:bCs/>
          <w:color w:val="000000"/>
          <w:sz w:val="24"/>
        </w:rPr>
        <w:t>录1：</w:t>
      </w:r>
    </w:p>
    <w:p w14:paraId="0093C499">
      <w:pPr>
        <w:pStyle w:val="3"/>
        <w:spacing w:line="360" w:lineRule="auto"/>
        <w:jc w:val="center"/>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重点出版社</w:t>
      </w:r>
    </w:p>
    <w:p w14:paraId="18BE7739">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专业医药类出版社：6家</w:t>
      </w:r>
    </w:p>
    <w:p w14:paraId="76BB3BCA">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 xml:space="preserve">人民卫生出版社  中国中医药出版社  北京大学医学出版社  </w:t>
      </w:r>
    </w:p>
    <w:p w14:paraId="26DB3A09">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中国协和医科大学出版社  中国医药科技出版社  中医古籍出版社</w:t>
      </w:r>
    </w:p>
    <w:p w14:paraId="5AA28CCA">
      <w:pPr>
        <w:pStyle w:val="3"/>
        <w:spacing w:line="360" w:lineRule="auto"/>
        <w:jc w:val="left"/>
        <w:rPr>
          <w:rFonts w:asciiTheme="majorEastAsia" w:hAnsiTheme="majorEastAsia" w:eastAsiaTheme="majorEastAsia"/>
          <w:bCs/>
          <w:color w:val="000000"/>
          <w:sz w:val="24"/>
          <w:szCs w:val="24"/>
        </w:rPr>
      </w:pPr>
    </w:p>
    <w:p w14:paraId="1929313C">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科技类出版社：41家</w:t>
      </w:r>
    </w:p>
    <w:p w14:paraId="10E34570">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 xml:space="preserve">高等教育出版社  化学工业出版社  科学出版社  华夏出版社   科学技术文献出版社  世界图书出版公司  学苑出版社  中国科学技术出版社  同济大学出版社  </w:t>
      </w:r>
    </w:p>
    <w:p w14:paraId="0252E655">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 xml:space="preserve">东南大学出版社  机械工业出版社  郑州大学出版社  中国标准出版社  </w:t>
      </w:r>
    </w:p>
    <w:p w14:paraId="5778FECC">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中国轻工业出版社  浙江大学出版社  天津科技翻译出版有限公司</w:t>
      </w:r>
    </w:p>
    <w:p w14:paraId="2462B90F">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 xml:space="preserve">安徽科学技术出版社  北京科学技术出版社   福建科学技术出版社 </w:t>
      </w:r>
    </w:p>
    <w:p w14:paraId="2F2CA13A">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 xml:space="preserve">广东科学技术出版社  广西科学技术出版社  贵州科学技术出版社  </w:t>
      </w:r>
    </w:p>
    <w:p w14:paraId="328DEC5B">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 xml:space="preserve">河北科学技术出版社  河南科学技术出版社  黑龙江科学技术出版社  </w:t>
      </w:r>
    </w:p>
    <w:p w14:paraId="2B9A043E">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 xml:space="preserve">湖北科学技术出版社  湖南科学技术出版社  华中科技大学出版社                吉林科学技术出版社  江苏凤凰科学技术出版社  江西科学技术出版社            辽宁科学技术出版社  内蒙古科学技术出版社  山东科学技术出版社              山西科学技术出版社  陕西科学技术出版社  上海科学技术出版社  </w:t>
      </w:r>
    </w:p>
    <w:p w14:paraId="054C3CB9">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 xml:space="preserve">四川科学技术出版社  天津科学技术出版社  云南科学技术出版社                浙江科学技术出版社  </w:t>
      </w:r>
    </w:p>
    <w:p w14:paraId="0CF917D9">
      <w:pPr>
        <w:pStyle w:val="3"/>
        <w:spacing w:line="360" w:lineRule="auto"/>
        <w:jc w:val="left"/>
        <w:rPr>
          <w:rFonts w:asciiTheme="majorEastAsia" w:hAnsiTheme="majorEastAsia" w:eastAsiaTheme="majorEastAsia"/>
          <w:bCs/>
          <w:color w:val="000000"/>
          <w:sz w:val="24"/>
          <w:szCs w:val="24"/>
        </w:rPr>
      </w:pPr>
    </w:p>
    <w:p w14:paraId="08ADD5E3">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其它出版社：27家</w:t>
      </w:r>
    </w:p>
    <w:p w14:paraId="0469ED2C">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 xml:space="preserve">北京大学出版社  清华大学出版社  人民出版社  社会科学文献出版社            国家图书馆出版社  中信出版集团股份有限公司    中国人民大学出版社  </w:t>
      </w:r>
    </w:p>
    <w:p w14:paraId="71A9B04C">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 xml:space="preserve">中国社会科学出版社     法律出版社  中国法制出版社  人民邮电出版社  </w:t>
      </w:r>
    </w:p>
    <w:p w14:paraId="3C95B209">
      <w:pPr>
        <w:pStyle w:val="3"/>
        <w:spacing w:line="360" w:lineRule="auto"/>
        <w:jc w:val="left"/>
        <w:rPr>
          <w:rFonts w:asciiTheme="majorEastAsia" w:hAnsiTheme="majorEastAsia" w:eastAsiaTheme="majorEastAsia"/>
          <w:bCs/>
          <w:color w:val="000000"/>
          <w:sz w:val="24"/>
          <w:szCs w:val="24"/>
        </w:rPr>
      </w:pPr>
      <w:r>
        <w:rPr>
          <w:rFonts w:hint="eastAsia" w:asciiTheme="majorEastAsia" w:hAnsiTheme="majorEastAsia" w:eastAsiaTheme="majorEastAsia"/>
          <w:bCs/>
          <w:color w:val="000000"/>
          <w:sz w:val="24"/>
          <w:szCs w:val="24"/>
        </w:rPr>
        <w:t xml:space="preserve">电子工业出版社   机械工业出版社  北京航空航天出版社  中国政法大学出版社  </w:t>
      </w:r>
    </w:p>
    <w:p w14:paraId="07F8839D">
      <w:pPr>
        <w:pStyle w:val="3"/>
        <w:spacing w:line="360" w:lineRule="auto"/>
        <w:jc w:val="left"/>
        <w:rPr>
          <w:rFonts w:asciiTheme="majorEastAsia" w:hAnsiTheme="majorEastAsia" w:eastAsiaTheme="majorEastAsia"/>
          <w:sz w:val="24"/>
        </w:rPr>
      </w:pPr>
      <w:r>
        <w:rPr>
          <w:rFonts w:hint="eastAsia" w:asciiTheme="majorEastAsia" w:hAnsiTheme="majorEastAsia" w:eastAsiaTheme="majorEastAsia"/>
          <w:bCs/>
          <w:color w:val="000000"/>
          <w:sz w:val="24"/>
          <w:szCs w:val="24"/>
        </w:rPr>
        <w:t xml:space="preserve">北京联合出版公司  福建人民出版社  </w:t>
      </w:r>
      <w:r>
        <w:rPr>
          <w:rFonts w:hint="eastAsia" w:asciiTheme="majorEastAsia" w:hAnsiTheme="majorEastAsia" w:eastAsiaTheme="majorEastAsia"/>
          <w:sz w:val="24"/>
        </w:rPr>
        <w:t>广西师范大学出版社  湖南文艺出版社</w:t>
      </w:r>
    </w:p>
    <w:p w14:paraId="61D02585">
      <w:pPr>
        <w:pStyle w:val="3"/>
        <w:spacing w:line="360" w:lineRule="auto"/>
        <w:jc w:val="left"/>
        <w:rPr>
          <w:rFonts w:asciiTheme="majorEastAsia" w:hAnsiTheme="majorEastAsia" w:eastAsiaTheme="majorEastAsia"/>
          <w:sz w:val="24"/>
        </w:rPr>
      </w:pPr>
      <w:r>
        <w:rPr>
          <w:rFonts w:hint="eastAsia" w:asciiTheme="majorEastAsia" w:hAnsiTheme="majorEastAsia" w:eastAsiaTheme="majorEastAsia"/>
          <w:sz w:val="24"/>
        </w:rPr>
        <w:t>江苏凤凰文艺出版社  人民文学出版社  商务印书馆  生活.读书.新知三联书店</w:t>
      </w:r>
    </w:p>
    <w:p w14:paraId="0B4202F1">
      <w:pPr>
        <w:pStyle w:val="3"/>
        <w:spacing w:line="360" w:lineRule="auto"/>
        <w:jc w:val="left"/>
        <w:rPr>
          <w:rFonts w:asciiTheme="majorEastAsia" w:hAnsiTheme="majorEastAsia" w:eastAsiaTheme="majorEastAsia"/>
          <w:sz w:val="24"/>
        </w:rPr>
      </w:pPr>
      <w:r>
        <w:rPr>
          <w:rFonts w:hint="eastAsia" w:asciiTheme="majorEastAsia" w:hAnsiTheme="majorEastAsia" w:eastAsiaTheme="majorEastAsia"/>
          <w:sz w:val="24"/>
        </w:rPr>
        <w:t>外语教育与研究出版社  译林出版社  重庆出版社  中华书局</w:t>
      </w:r>
    </w:p>
    <w:sectPr>
      <w:footerReference r:id="rId3" w:type="default"/>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813154"/>
    </w:sdtPr>
    <w:sdtContent>
      <w:p w14:paraId="20F006F7">
        <w:pPr>
          <w:pStyle w:val="6"/>
          <w:jc w:val="center"/>
        </w:pPr>
        <w:r>
          <w:fldChar w:fldCharType="begin"/>
        </w:r>
        <w:r>
          <w:instrText xml:space="preserve"> PAGE   \* MERGEFORMAT </w:instrText>
        </w:r>
        <w:r>
          <w:fldChar w:fldCharType="separate"/>
        </w:r>
        <w:r>
          <w:rPr>
            <w:lang w:val="zh-CN"/>
          </w:rPr>
          <w:t>2</w:t>
        </w:r>
        <w:r>
          <w:rPr>
            <w:lang w:val="zh-CN"/>
          </w:rPr>
          <w:fldChar w:fldCharType="end"/>
        </w:r>
      </w:p>
    </w:sdtContent>
  </w:sdt>
  <w:p w14:paraId="52D1A2E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7046A4"/>
    <w:multiLevelType w:val="multilevel"/>
    <w:tmpl w:val="447046A4"/>
    <w:lvl w:ilvl="0" w:tentative="0">
      <w:start w:val="1"/>
      <w:numFmt w:val="decimalEnclosedCircle"/>
      <w:lvlText w:val="%1"/>
      <w:lvlJc w:val="left"/>
      <w:pPr>
        <w:ind w:left="771" w:hanging="360"/>
      </w:pPr>
      <w:rPr>
        <w:rFonts w:hint="default"/>
      </w:rPr>
    </w:lvl>
    <w:lvl w:ilvl="1" w:tentative="0">
      <w:start w:val="1"/>
      <w:numFmt w:val="lowerLetter"/>
      <w:lvlText w:val="%2)"/>
      <w:lvlJc w:val="left"/>
      <w:pPr>
        <w:ind w:left="1251" w:hanging="420"/>
      </w:pPr>
    </w:lvl>
    <w:lvl w:ilvl="2" w:tentative="0">
      <w:start w:val="1"/>
      <w:numFmt w:val="lowerRoman"/>
      <w:lvlText w:val="%3."/>
      <w:lvlJc w:val="right"/>
      <w:pPr>
        <w:ind w:left="1671" w:hanging="420"/>
      </w:pPr>
    </w:lvl>
    <w:lvl w:ilvl="3" w:tentative="0">
      <w:start w:val="1"/>
      <w:numFmt w:val="decimal"/>
      <w:lvlText w:val="%4."/>
      <w:lvlJc w:val="left"/>
      <w:pPr>
        <w:ind w:left="2091" w:hanging="420"/>
      </w:pPr>
    </w:lvl>
    <w:lvl w:ilvl="4" w:tentative="0">
      <w:start w:val="1"/>
      <w:numFmt w:val="lowerLetter"/>
      <w:lvlText w:val="%5)"/>
      <w:lvlJc w:val="left"/>
      <w:pPr>
        <w:ind w:left="2511" w:hanging="420"/>
      </w:pPr>
    </w:lvl>
    <w:lvl w:ilvl="5" w:tentative="0">
      <w:start w:val="1"/>
      <w:numFmt w:val="lowerRoman"/>
      <w:lvlText w:val="%6."/>
      <w:lvlJc w:val="right"/>
      <w:pPr>
        <w:ind w:left="2931" w:hanging="420"/>
      </w:pPr>
    </w:lvl>
    <w:lvl w:ilvl="6" w:tentative="0">
      <w:start w:val="1"/>
      <w:numFmt w:val="decimal"/>
      <w:lvlText w:val="%7."/>
      <w:lvlJc w:val="left"/>
      <w:pPr>
        <w:ind w:left="3351" w:hanging="420"/>
      </w:pPr>
    </w:lvl>
    <w:lvl w:ilvl="7" w:tentative="0">
      <w:start w:val="1"/>
      <w:numFmt w:val="lowerLetter"/>
      <w:lvlText w:val="%8)"/>
      <w:lvlJc w:val="left"/>
      <w:pPr>
        <w:ind w:left="3771" w:hanging="420"/>
      </w:pPr>
    </w:lvl>
    <w:lvl w:ilvl="8" w:tentative="0">
      <w:start w:val="1"/>
      <w:numFmt w:val="lowerRoman"/>
      <w:lvlText w:val="%9."/>
      <w:lvlJc w:val="right"/>
      <w:pPr>
        <w:ind w:left="419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284"/>
    <w:rsid w:val="00004CA4"/>
    <w:rsid w:val="00030EA4"/>
    <w:rsid w:val="000324D9"/>
    <w:rsid w:val="00034B74"/>
    <w:rsid w:val="00036CA2"/>
    <w:rsid w:val="00036E11"/>
    <w:rsid w:val="00041ACA"/>
    <w:rsid w:val="00044CF1"/>
    <w:rsid w:val="000463C1"/>
    <w:rsid w:val="000471A2"/>
    <w:rsid w:val="000522C5"/>
    <w:rsid w:val="000527DC"/>
    <w:rsid w:val="00060AC2"/>
    <w:rsid w:val="0006410D"/>
    <w:rsid w:val="00075006"/>
    <w:rsid w:val="000A25C3"/>
    <w:rsid w:val="000C4304"/>
    <w:rsid w:val="000E5B00"/>
    <w:rsid w:val="000F04A6"/>
    <w:rsid w:val="000F5E76"/>
    <w:rsid w:val="00100510"/>
    <w:rsid w:val="00104C05"/>
    <w:rsid w:val="001062C2"/>
    <w:rsid w:val="00112FB4"/>
    <w:rsid w:val="001229C3"/>
    <w:rsid w:val="0014785D"/>
    <w:rsid w:val="00154061"/>
    <w:rsid w:val="00156C77"/>
    <w:rsid w:val="00160306"/>
    <w:rsid w:val="00173BA5"/>
    <w:rsid w:val="00175B82"/>
    <w:rsid w:val="00185AB2"/>
    <w:rsid w:val="001B0A11"/>
    <w:rsid w:val="001B1328"/>
    <w:rsid w:val="001C0F96"/>
    <w:rsid w:val="001E4FCF"/>
    <w:rsid w:val="0021673B"/>
    <w:rsid w:val="00216A86"/>
    <w:rsid w:val="002423F5"/>
    <w:rsid w:val="00242CFA"/>
    <w:rsid w:val="002760B8"/>
    <w:rsid w:val="00277D1C"/>
    <w:rsid w:val="00281EFC"/>
    <w:rsid w:val="00284862"/>
    <w:rsid w:val="00287679"/>
    <w:rsid w:val="002A0E46"/>
    <w:rsid w:val="002D1088"/>
    <w:rsid w:val="00300293"/>
    <w:rsid w:val="00303744"/>
    <w:rsid w:val="00303850"/>
    <w:rsid w:val="00313483"/>
    <w:rsid w:val="003272D1"/>
    <w:rsid w:val="00335828"/>
    <w:rsid w:val="00344E45"/>
    <w:rsid w:val="00366769"/>
    <w:rsid w:val="003909CE"/>
    <w:rsid w:val="0039680A"/>
    <w:rsid w:val="00397C80"/>
    <w:rsid w:val="003C4525"/>
    <w:rsid w:val="003E27A6"/>
    <w:rsid w:val="003E42EB"/>
    <w:rsid w:val="003E7F0A"/>
    <w:rsid w:val="00425ADC"/>
    <w:rsid w:val="00425D10"/>
    <w:rsid w:val="004417C7"/>
    <w:rsid w:val="00443863"/>
    <w:rsid w:val="00444C59"/>
    <w:rsid w:val="00444C9C"/>
    <w:rsid w:val="00446CCC"/>
    <w:rsid w:val="00462BAD"/>
    <w:rsid w:val="00480F07"/>
    <w:rsid w:val="00481E61"/>
    <w:rsid w:val="00496966"/>
    <w:rsid w:val="004D3043"/>
    <w:rsid w:val="004E3D25"/>
    <w:rsid w:val="00526184"/>
    <w:rsid w:val="00556CA1"/>
    <w:rsid w:val="00561B31"/>
    <w:rsid w:val="005667CE"/>
    <w:rsid w:val="00572EE3"/>
    <w:rsid w:val="00585FD7"/>
    <w:rsid w:val="005927E8"/>
    <w:rsid w:val="00592BEF"/>
    <w:rsid w:val="005943BA"/>
    <w:rsid w:val="00595749"/>
    <w:rsid w:val="005B4C3D"/>
    <w:rsid w:val="005F0511"/>
    <w:rsid w:val="00610F56"/>
    <w:rsid w:val="00614D71"/>
    <w:rsid w:val="00615998"/>
    <w:rsid w:val="00617589"/>
    <w:rsid w:val="006253A5"/>
    <w:rsid w:val="006302A4"/>
    <w:rsid w:val="006473BA"/>
    <w:rsid w:val="0067006A"/>
    <w:rsid w:val="0067511D"/>
    <w:rsid w:val="006966DB"/>
    <w:rsid w:val="006A19FC"/>
    <w:rsid w:val="006C1AA9"/>
    <w:rsid w:val="006C2DD5"/>
    <w:rsid w:val="006C5716"/>
    <w:rsid w:val="006D7475"/>
    <w:rsid w:val="006F18F5"/>
    <w:rsid w:val="006F658C"/>
    <w:rsid w:val="007114A7"/>
    <w:rsid w:val="00715C6E"/>
    <w:rsid w:val="00744F70"/>
    <w:rsid w:val="007549FE"/>
    <w:rsid w:val="00756204"/>
    <w:rsid w:val="007575ED"/>
    <w:rsid w:val="00777848"/>
    <w:rsid w:val="007C56D2"/>
    <w:rsid w:val="007D5ECC"/>
    <w:rsid w:val="007E3CCE"/>
    <w:rsid w:val="007E3E7A"/>
    <w:rsid w:val="0082695D"/>
    <w:rsid w:val="00836F1E"/>
    <w:rsid w:val="00854E9C"/>
    <w:rsid w:val="008772CB"/>
    <w:rsid w:val="00882BC9"/>
    <w:rsid w:val="00887834"/>
    <w:rsid w:val="008B3C5F"/>
    <w:rsid w:val="008B675E"/>
    <w:rsid w:val="008C1CAA"/>
    <w:rsid w:val="008C76DA"/>
    <w:rsid w:val="008D588C"/>
    <w:rsid w:val="008F65BC"/>
    <w:rsid w:val="00904110"/>
    <w:rsid w:val="009070E7"/>
    <w:rsid w:val="00943C67"/>
    <w:rsid w:val="009461B8"/>
    <w:rsid w:val="00976383"/>
    <w:rsid w:val="00982D06"/>
    <w:rsid w:val="00983654"/>
    <w:rsid w:val="00983825"/>
    <w:rsid w:val="009B7AC6"/>
    <w:rsid w:val="009E1323"/>
    <w:rsid w:val="009E52F8"/>
    <w:rsid w:val="00A31279"/>
    <w:rsid w:val="00A668B8"/>
    <w:rsid w:val="00A66E07"/>
    <w:rsid w:val="00A90E38"/>
    <w:rsid w:val="00A917B4"/>
    <w:rsid w:val="00AC668D"/>
    <w:rsid w:val="00AD6923"/>
    <w:rsid w:val="00AE4284"/>
    <w:rsid w:val="00AF1C00"/>
    <w:rsid w:val="00AF7565"/>
    <w:rsid w:val="00B32625"/>
    <w:rsid w:val="00B41DB2"/>
    <w:rsid w:val="00B50A7E"/>
    <w:rsid w:val="00B51362"/>
    <w:rsid w:val="00B81165"/>
    <w:rsid w:val="00BA2FAD"/>
    <w:rsid w:val="00BB39DA"/>
    <w:rsid w:val="00BC23ED"/>
    <w:rsid w:val="00C024D1"/>
    <w:rsid w:val="00C05E20"/>
    <w:rsid w:val="00C10388"/>
    <w:rsid w:val="00C309D3"/>
    <w:rsid w:val="00C33901"/>
    <w:rsid w:val="00C40367"/>
    <w:rsid w:val="00C40BC7"/>
    <w:rsid w:val="00C53F2E"/>
    <w:rsid w:val="00C85EA7"/>
    <w:rsid w:val="00C95034"/>
    <w:rsid w:val="00CC14CB"/>
    <w:rsid w:val="00CC440E"/>
    <w:rsid w:val="00CD3DD2"/>
    <w:rsid w:val="00CD4118"/>
    <w:rsid w:val="00CD62D7"/>
    <w:rsid w:val="00CE6DC9"/>
    <w:rsid w:val="00D12701"/>
    <w:rsid w:val="00D26981"/>
    <w:rsid w:val="00D42F91"/>
    <w:rsid w:val="00D44F94"/>
    <w:rsid w:val="00D54AFD"/>
    <w:rsid w:val="00D65FDE"/>
    <w:rsid w:val="00D83C84"/>
    <w:rsid w:val="00D8707E"/>
    <w:rsid w:val="00DE69A4"/>
    <w:rsid w:val="00DF7B25"/>
    <w:rsid w:val="00E00084"/>
    <w:rsid w:val="00E02806"/>
    <w:rsid w:val="00E13C16"/>
    <w:rsid w:val="00E210B8"/>
    <w:rsid w:val="00E715AF"/>
    <w:rsid w:val="00E823BD"/>
    <w:rsid w:val="00E86FAE"/>
    <w:rsid w:val="00E96C1F"/>
    <w:rsid w:val="00EA1E30"/>
    <w:rsid w:val="00EA6622"/>
    <w:rsid w:val="00EB0C47"/>
    <w:rsid w:val="00EC7D52"/>
    <w:rsid w:val="00EE0A22"/>
    <w:rsid w:val="00EE3915"/>
    <w:rsid w:val="00F00F28"/>
    <w:rsid w:val="00F21FC9"/>
    <w:rsid w:val="00F237EF"/>
    <w:rsid w:val="00F35379"/>
    <w:rsid w:val="00F8341A"/>
    <w:rsid w:val="00F9774E"/>
    <w:rsid w:val="00FB6648"/>
    <w:rsid w:val="00FB6F5F"/>
    <w:rsid w:val="00FE58BD"/>
    <w:rsid w:val="00FF214E"/>
    <w:rsid w:val="0A634F0B"/>
    <w:rsid w:val="107734BE"/>
    <w:rsid w:val="117B0D8C"/>
    <w:rsid w:val="14CD70A9"/>
    <w:rsid w:val="14F21366"/>
    <w:rsid w:val="15431507"/>
    <w:rsid w:val="185A16FC"/>
    <w:rsid w:val="28913EE2"/>
    <w:rsid w:val="39CB3DB0"/>
    <w:rsid w:val="3CED2697"/>
    <w:rsid w:val="3DEE62BF"/>
    <w:rsid w:val="3F406FEE"/>
    <w:rsid w:val="3F8C5D8F"/>
    <w:rsid w:val="4DF73844"/>
    <w:rsid w:val="55D13859"/>
    <w:rsid w:val="57831D16"/>
    <w:rsid w:val="65B50011"/>
    <w:rsid w:val="65EB7404"/>
    <w:rsid w:val="66BC2769"/>
    <w:rsid w:val="6CD97FB6"/>
    <w:rsid w:val="6FD62DFA"/>
    <w:rsid w:val="75B91371"/>
    <w:rsid w:val="7B445194"/>
    <w:rsid w:val="7D823D52"/>
    <w:rsid w:val="7E1F3C97"/>
    <w:rsid w:val="7F6E0A3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iPriority w:val="0"/>
    <w:pPr>
      <w:ind w:firstLine="420"/>
    </w:pPr>
    <w:rPr>
      <w:szCs w:val="20"/>
    </w:rPr>
  </w:style>
  <w:style w:type="paragraph" w:styleId="3">
    <w:name w:val="Plain Text"/>
    <w:basedOn w:val="1"/>
    <w:link w:val="15"/>
    <w:qFormat/>
    <w:uiPriority w:val="0"/>
    <w:rPr>
      <w:rFonts w:ascii="宋体" w:hAnsi="Courier New"/>
      <w:szCs w:val="20"/>
    </w:rPr>
  </w:style>
  <w:style w:type="paragraph" w:styleId="4">
    <w:name w:val="Date"/>
    <w:basedOn w:val="1"/>
    <w:next w:val="1"/>
    <w:link w:val="17"/>
    <w:semiHidden/>
    <w:unhideWhenUsed/>
    <w:qFormat/>
    <w:uiPriority w:val="99"/>
    <w:pPr>
      <w:ind w:left="100" w:leftChars="2500"/>
    </w:pPr>
  </w:style>
  <w:style w:type="paragraph" w:styleId="5">
    <w:name w:val="Balloon Text"/>
    <w:basedOn w:val="1"/>
    <w:link w:val="21"/>
    <w:semiHidden/>
    <w:unhideWhenUsed/>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Body Text 2"/>
    <w:basedOn w:val="1"/>
    <w:link w:val="16"/>
    <w:qFormat/>
    <w:uiPriority w:val="0"/>
    <w:pPr>
      <w:spacing w:after="120" w:line="480" w:lineRule="auto"/>
    </w:pPr>
  </w:style>
  <w:style w:type="character" w:customStyle="1" w:styleId="11">
    <w:name w:val="页眉 Char"/>
    <w:basedOn w:val="10"/>
    <w:link w:val="7"/>
    <w:semiHidden/>
    <w:qFormat/>
    <w:uiPriority w:val="99"/>
    <w:rPr>
      <w:sz w:val="18"/>
      <w:szCs w:val="18"/>
    </w:rPr>
  </w:style>
  <w:style w:type="character" w:customStyle="1" w:styleId="12">
    <w:name w:val="页脚 Char"/>
    <w:basedOn w:val="10"/>
    <w:link w:val="6"/>
    <w:uiPriority w:val="99"/>
    <w:rPr>
      <w:sz w:val="18"/>
      <w:szCs w:val="18"/>
    </w:rPr>
  </w:style>
  <w:style w:type="paragraph" w:customStyle="1" w:styleId="13">
    <w:name w:val="Char"/>
    <w:basedOn w:val="1"/>
    <w:uiPriority w:val="0"/>
    <w:pPr>
      <w:widowControl/>
      <w:spacing w:after="160" w:line="240" w:lineRule="exact"/>
      <w:jc w:val="left"/>
    </w:pPr>
    <w:rPr>
      <w:rFonts w:ascii="Verdana" w:hAnsi="Verdana"/>
      <w:kern w:val="0"/>
      <w:sz w:val="20"/>
      <w:szCs w:val="20"/>
      <w:lang w:eastAsia="en-US"/>
    </w:rPr>
  </w:style>
  <w:style w:type="paragraph" w:customStyle="1" w:styleId="14">
    <w:name w:val="Char1"/>
    <w:basedOn w:val="1"/>
    <w:uiPriority w:val="0"/>
    <w:pPr>
      <w:widowControl/>
      <w:spacing w:after="160" w:line="240" w:lineRule="exact"/>
      <w:jc w:val="left"/>
    </w:pPr>
    <w:rPr>
      <w:rFonts w:ascii="Verdana" w:hAnsi="Verdana"/>
      <w:kern w:val="0"/>
      <w:sz w:val="20"/>
      <w:szCs w:val="20"/>
      <w:lang w:eastAsia="en-US"/>
    </w:rPr>
  </w:style>
  <w:style w:type="character" w:customStyle="1" w:styleId="15">
    <w:name w:val="纯文本 Char"/>
    <w:basedOn w:val="10"/>
    <w:link w:val="3"/>
    <w:uiPriority w:val="0"/>
    <w:rPr>
      <w:rFonts w:ascii="宋体" w:hAnsi="Courier New" w:eastAsia="宋体" w:cs="Times New Roman"/>
      <w:szCs w:val="20"/>
    </w:rPr>
  </w:style>
  <w:style w:type="character" w:customStyle="1" w:styleId="16">
    <w:name w:val="正文文本 2 Char"/>
    <w:basedOn w:val="10"/>
    <w:link w:val="8"/>
    <w:uiPriority w:val="0"/>
    <w:rPr>
      <w:rFonts w:ascii="Times New Roman" w:hAnsi="Times New Roman" w:eastAsia="宋体" w:cs="Times New Roman"/>
      <w:szCs w:val="24"/>
    </w:rPr>
  </w:style>
  <w:style w:type="character" w:customStyle="1" w:styleId="17">
    <w:name w:val="日期 Char"/>
    <w:basedOn w:val="10"/>
    <w:link w:val="4"/>
    <w:semiHidden/>
    <w:uiPriority w:val="99"/>
    <w:rPr>
      <w:rFonts w:ascii="Times New Roman" w:hAnsi="Times New Roman" w:eastAsia="宋体" w:cs="Times New Roman"/>
      <w:szCs w:val="24"/>
    </w:rPr>
  </w:style>
  <w:style w:type="paragraph" w:customStyle="1" w:styleId="18">
    <w:name w:val="Char2"/>
    <w:basedOn w:val="1"/>
    <w:uiPriority w:val="0"/>
    <w:pPr>
      <w:widowControl/>
      <w:spacing w:after="160" w:line="240" w:lineRule="exact"/>
      <w:jc w:val="left"/>
    </w:pPr>
    <w:rPr>
      <w:rFonts w:ascii="Verdana" w:hAnsi="Verdana"/>
      <w:kern w:val="0"/>
      <w:sz w:val="20"/>
      <w:szCs w:val="20"/>
      <w:lang w:eastAsia="en-US"/>
    </w:rPr>
  </w:style>
  <w:style w:type="paragraph" w:styleId="19">
    <w:name w:val="List Paragraph"/>
    <w:basedOn w:val="1"/>
    <w:qFormat/>
    <w:uiPriority w:val="34"/>
    <w:pPr>
      <w:ind w:firstLine="420" w:firstLineChars="200"/>
    </w:pPr>
  </w:style>
  <w:style w:type="paragraph" w:customStyle="1" w:styleId="20">
    <w:name w:val="null3"/>
    <w:hidden/>
    <w:qFormat/>
    <w:uiPriority w:val="0"/>
    <w:rPr>
      <w:rFonts w:hint="eastAsia" w:asciiTheme="minorHAnsi" w:hAnsiTheme="minorHAnsi" w:eastAsiaTheme="minorEastAsia" w:cstheme="minorBidi"/>
      <w:lang w:val="en-US" w:eastAsia="zh-CN" w:bidi="ar-SA"/>
    </w:rPr>
  </w:style>
  <w:style w:type="character" w:customStyle="1" w:styleId="21">
    <w:name w:val="批注框文本 Char"/>
    <w:basedOn w:val="10"/>
    <w:link w:val="5"/>
    <w:semiHidden/>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932C9-97E9-452D-A1D7-7AB0CB2A7EEC}">
  <ds:schemaRefs/>
</ds:datastoreItem>
</file>

<file path=docProps/app.xml><?xml version="1.0" encoding="utf-8"?>
<Properties xmlns="http://schemas.openxmlformats.org/officeDocument/2006/extended-properties" xmlns:vt="http://schemas.openxmlformats.org/officeDocument/2006/docPropsVTypes">
  <Template>Normal</Template>
  <Company>中国石油大学</Company>
  <Pages>6</Pages>
  <Words>4598</Words>
  <Characters>4886</Characters>
  <Lines>37</Lines>
  <Paragraphs>10</Paragraphs>
  <TotalTime>5</TotalTime>
  <ScaleCrop>false</ScaleCrop>
  <LinksUpToDate>false</LinksUpToDate>
  <CharactersWithSpaces>5103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2026-09-02T03:14:00Z</dcterms:created>
  <dc:creator>admin</dc:creator>
  <cp:lastModifiedBy>刘海霞</cp:lastModifiedBy>
  <cp:lastPrinted>2021-10-21T01:53:00Z</cp:lastPrinted>
  <dcterms:modified xsi:type="dcterms:W3CDTF">2026-09-02T06:46:13Z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76BCD69A2BCE4EC5BA8EAE83D27DF8D9_13</vt:lpwstr>
  </property>
  <property fmtid="{D5CDD505-2E9C-101B-9397-08002B2CF9AE}" pid="4" name="KSOTemplateDocerSaveRecord">
    <vt:lpwstr>eyJoZGlkIjoiMGYxYjFkYTQzOWJkMGYxYjM0NTAwNjg5Njk2ZTEwYzEiLCJ1c2VySWQiOiIxNjAyOTI5NTM5In0=</vt:lpwstr>
  </property>
</Properties>
</file>