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C2D628">
      <w:pPr>
        <w:spacing w:line="360" w:lineRule="auto"/>
        <w:jc w:val="center"/>
        <w:rPr>
          <w:rFonts w:ascii="仿宋" w:hAnsi="仿宋" w:eastAsia="仿宋" w:cs="仿宋"/>
          <w:b/>
          <w:sz w:val="30"/>
          <w:szCs w:val="30"/>
        </w:rPr>
      </w:pPr>
      <w:r>
        <w:rPr>
          <w:rFonts w:hint="eastAsia" w:ascii="仿宋" w:hAnsi="仿宋" w:eastAsia="仿宋" w:cs="仿宋"/>
          <w:b/>
          <w:sz w:val="30"/>
          <w:szCs w:val="30"/>
          <w:lang w:val="en-US" w:eastAsia="zh-CN"/>
        </w:rPr>
        <w:t>福建中医药大学2027年信息系统维保</w:t>
      </w:r>
      <w:r>
        <w:rPr>
          <w:rFonts w:hint="eastAsia" w:ascii="仿宋" w:hAnsi="仿宋" w:eastAsia="仿宋" w:cs="仿宋"/>
          <w:b/>
          <w:sz w:val="30"/>
          <w:szCs w:val="30"/>
        </w:rPr>
        <w:t>服务</w:t>
      </w:r>
    </w:p>
    <w:p w14:paraId="76A6B8FD">
      <w:pPr>
        <w:spacing w:line="360" w:lineRule="auto"/>
        <w:jc w:val="center"/>
        <w:rPr>
          <w:rFonts w:ascii="仿宋" w:hAnsi="仿宋" w:eastAsia="仿宋" w:cs="仿宋"/>
          <w:b/>
          <w:sz w:val="30"/>
          <w:szCs w:val="30"/>
        </w:rPr>
      </w:pPr>
      <w:r>
        <w:rPr>
          <w:rFonts w:hint="eastAsia" w:ascii="仿宋" w:hAnsi="仿宋" w:eastAsia="仿宋" w:cs="仿宋"/>
          <w:b/>
          <w:sz w:val="30"/>
          <w:szCs w:val="30"/>
        </w:rPr>
        <w:t>采购方案</w:t>
      </w:r>
    </w:p>
    <w:p w14:paraId="03FCE746">
      <w:pPr>
        <w:spacing w:line="360" w:lineRule="auto"/>
        <w:ind w:firstLine="482" w:firstLineChars="200"/>
        <w:jc w:val="center"/>
        <w:outlineLvl w:val="0"/>
        <w:rPr>
          <w:rFonts w:ascii="仿宋" w:hAnsi="仿宋" w:eastAsia="仿宋" w:cs="仿宋"/>
          <w:b/>
          <w:sz w:val="24"/>
        </w:rPr>
      </w:pPr>
      <w:r>
        <w:rPr>
          <w:rFonts w:ascii="仿宋" w:hAnsi="仿宋" w:eastAsia="仿宋" w:cs="仿宋"/>
          <w:b/>
          <w:sz w:val="24"/>
        </w:rPr>
        <w:t xml:space="preserve">                                 </w:t>
      </w:r>
    </w:p>
    <w:p w14:paraId="5805186C">
      <w:pPr>
        <w:numPr>
          <w:ilvl w:val="0"/>
          <w:numId w:val="1"/>
        </w:numPr>
        <w:spacing w:line="360" w:lineRule="auto"/>
        <w:ind w:left="0" w:leftChars="0" w:firstLine="0" w:firstLineChars="0"/>
        <w:jc w:val="left"/>
        <w:outlineLvl w:val="0"/>
        <w:rPr>
          <w:rFonts w:ascii="仿宋" w:hAnsi="仿宋" w:eastAsia="仿宋" w:cs="仿宋"/>
          <w:b/>
          <w:sz w:val="24"/>
        </w:rPr>
      </w:pPr>
      <w:r>
        <w:rPr>
          <w:rFonts w:hint="eastAsia" w:ascii="仿宋" w:hAnsi="仿宋" w:eastAsia="仿宋" w:cs="仿宋"/>
          <w:b/>
          <w:sz w:val="24"/>
        </w:rPr>
        <w:t>项目概况</w:t>
      </w:r>
      <w:r>
        <w:rPr>
          <w:rFonts w:ascii="仿宋" w:hAnsi="仿宋" w:eastAsia="仿宋" w:cs="仿宋"/>
          <w:b/>
          <w:sz w:val="24"/>
        </w:rPr>
        <w:t xml:space="preserve"> </w:t>
      </w:r>
    </w:p>
    <w:p w14:paraId="43BD4FF6">
      <w:pPr>
        <w:pStyle w:val="7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</w:rPr>
        <w:t>福建中医药大学</w:t>
      </w:r>
      <w:r>
        <w:rPr>
          <w:rFonts w:hint="eastAsia" w:ascii="仿宋" w:hAnsi="仿宋" w:eastAsia="仿宋" w:cs="仿宋"/>
          <w:lang w:val="en-US" w:eastAsia="zh-CN"/>
        </w:rPr>
        <w:t>信息系统</w:t>
      </w:r>
      <w:r>
        <w:rPr>
          <w:rFonts w:hint="eastAsia" w:ascii="仿宋" w:hAnsi="仿宋" w:eastAsia="仿宋" w:cs="仿宋"/>
        </w:rPr>
        <w:t>维保服务</w:t>
      </w:r>
      <w:r>
        <w:rPr>
          <w:rFonts w:hint="eastAsia" w:ascii="仿宋" w:hAnsi="仿宋" w:eastAsia="仿宋" w:cs="仿宋"/>
          <w:lang w:val="en-US" w:eastAsia="zh-CN"/>
        </w:rPr>
        <w:t>采购</w:t>
      </w:r>
      <w:r>
        <w:rPr>
          <w:rFonts w:hint="eastAsia" w:ascii="仿宋" w:hAnsi="仿宋" w:eastAsia="仿宋" w:cs="仿宋"/>
        </w:rPr>
        <w:t>项目旨在通过</w:t>
      </w:r>
      <w:r>
        <w:rPr>
          <w:rFonts w:hint="eastAsia" w:ascii="仿宋" w:hAnsi="仿宋" w:eastAsia="仿宋" w:cs="仿宋"/>
          <w:lang w:val="en-US" w:eastAsia="zh-CN"/>
        </w:rPr>
        <w:t>采购延保</w:t>
      </w:r>
      <w:r>
        <w:rPr>
          <w:rFonts w:hint="eastAsia" w:ascii="仿宋" w:hAnsi="仿宋" w:eastAsia="仿宋" w:cs="仿宋"/>
        </w:rPr>
        <w:t>服务，确保各类</w:t>
      </w:r>
      <w:r>
        <w:rPr>
          <w:rFonts w:hint="eastAsia" w:ascii="仿宋" w:hAnsi="仿宋" w:eastAsia="仿宋" w:cs="仿宋"/>
          <w:lang w:val="en-US" w:eastAsia="zh-CN"/>
        </w:rPr>
        <w:t>系统、设备能稳定、</w:t>
      </w:r>
      <w:r>
        <w:rPr>
          <w:rFonts w:hint="eastAsia" w:ascii="仿宋" w:hAnsi="仿宋" w:eastAsia="仿宋" w:cs="仿宋"/>
        </w:rPr>
        <w:t>持续发挥效能，保障学校</w:t>
      </w:r>
      <w:r>
        <w:rPr>
          <w:rFonts w:hint="eastAsia" w:ascii="仿宋" w:hAnsi="仿宋" w:eastAsia="仿宋" w:cs="仿宋"/>
          <w:lang w:val="en-US" w:eastAsia="zh-CN"/>
        </w:rPr>
        <w:t>智慧校园系统</w:t>
      </w:r>
      <w:r>
        <w:rPr>
          <w:rFonts w:hint="eastAsia" w:ascii="仿宋" w:hAnsi="仿宋" w:eastAsia="仿宋" w:cs="仿宋"/>
        </w:rPr>
        <w:t>稳定、安全、高效运行。</w:t>
      </w:r>
      <w:r>
        <w:rPr>
          <w:rFonts w:hint="eastAsia" w:ascii="仿宋" w:hAnsi="仿宋" w:eastAsia="仿宋" w:cs="仿宋"/>
          <w:lang w:val="en-US" w:eastAsia="zh-CN"/>
        </w:rPr>
        <w:t xml:space="preserve"> </w:t>
      </w:r>
    </w:p>
    <w:p w14:paraId="0E6F9B3A">
      <w:pPr>
        <w:numPr>
          <w:ilvl w:val="0"/>
          <w:numId w:val="1"/>
        </w:numPr>
        <w:spacing w:line="360" w:lineRule="auto"/>
        <w:ind w:left="0" w:leftChars="0" w:firstLine="0" w:firstLineChars="0"/>
        <w:jc w:val="left"/>
        <w:outlineLvl w:val="0"/>
        <w:rPr>
          <w:rFonts w:ascii="仿宋" w:hAnsi="仿宋" w:eastAsia="仿宋" w:cs="仿宋"/>
          <w:b/>
          <w:sz w:val="24"/>
        </w:rPr>
      </w:pPr>
      <w:r>
        <w:rPr>
          <w:rFonts w:hint="eastAsia" w:ascii="仿宋" w:hAnsi="仿宋" w:eastAsia="仿宋" w:cs="仿宋"/>
          <w:b/>
          <w:sz w:val="24"/>
          <w:lang w:val="en-US" w:eastAsia="zh-CN"/>
        </w:rPr>
        <w:t>维保</w:t>
      </w:r>
      <w:r>
        <w:rPr>
          <w:rFonts w:hint="eastAsia" w:ascii="仿宋" w:hAnsi="仿宋" w:eastAsia="仿宋" w:cs="仿宋"/>
          <w:b/>
          <w:sz w:val="24"/>
        </w:rPr>
        <w:t>服务</w:t>
      </w:r>
      <w:r>
        <w:rPr>
          <w:rFonts w:hint="eastAsia" w:ascii="仿宋" w:hAnsi="仿宋" w:eastAsia="仿宋" w:cs="仿宋"/>
          <w:b/>
          <w:sz w:val="24"/>
          <w:lang w:val="en-US" w:eastAsia="zh-CN"/>
        </w:rPr>
        <w:t>内容</w:t>
      </w:r>
    </w:p>
    <w:tbl>
      <w:tblPr>
        <w:tblStyle w:val="8"/>
        <w:tblW w:w="82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"/>
        <w:gridCol w:w="3199"/>
        <w:gridCol w:w="951"/>
        <w:gridCol w:w="3237"/>
      </w:tblGrid>
      <w:tr w14:paraId="5DAA7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882" w:type="dxa"/>
            <w:vAlign w:val="center"/>
          </w:tcPr>
          <w:p w14:paraId="78C19471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3199" w:type="dxa"/>
            <w:vAlign w:val="center"/>
          </w:tcPr>
          <w:p w14:paraId="589E73A4">
            <w:pPr>
              <w:spacing w:line="360" w:lineRule="auto"/>
              <w:jc w:val="center"/>
              <w:rPr>
                <w:rFonts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服务品目名称</w:t>
            </w:r>
          </w:p>
        </w:tc>
        <w:tc>
          <w:tcPr>
            <w:tcW w:w="951" w:type="dxa"/>
            <w:vAlign w:val="center"/>
          </w:tcPr>
          <w:p w14:paraId="71B83501">
            <w:pPr>
              <w:spacing w:line="360" w:lineRule="auto"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3237" w:type="dxa"/>
            <w:vAlign w:val="center"/>
          </w:tcPr>
          <w:p w14:paraId="320A5478">
            <w:pPr>
              <w:spacing w:line="36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lang w:eastAsia="zh-CN"/>
              </w:rPr>
              <w:t>维保</w:t>
            </w: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  <w:t>服务内容</w:t>
            </w:r>
          </w:p>
        </w:tc>
      </w:tr>
      <w:tr w14:paraId="66912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882" w:type="dxa"/>
            <w:vAlign w:val="center"/>
          </w:tcPr>
          <w:p w14:paraId="5FADACF1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（一）</w:t>
            </w:r>
          </w:p>
        </w:tc>
        <w:tc>
          <w:tcPr>
            <w:tcW w:w="7387" w:type="dxa"/>
            <w:gridSpan w:val="3"/>
            <w:vAlign w:val="center"/>
          </w:tcPr>
          <w:p w14:paraId="73CD3A9E">
            <w:pPr>
              <w:spacing w:line="360" w:lineRule="auto"/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迪讯产品维保服务</w:t>
            </w:r>
          </w:p>
        </w:tc>
      </w:tr>
      <w:tr w14:paraId="38291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82" w:type="dxa"/>
            <w:shd w:val="clear" w:color="auto" w:fill="FFFFFF"/>
            <w:vAlign w:val="center"/>
          </w:tcPr>
          <w:p w14:paraId="7861A805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199" w:type="dxa"/>
            <w:shd w:val="clear" w:color="auto" w:fill="FFFFFF"/>
            <w:vAlign w:val="center"/>
          </w:tcPr>
          <w:p w14:paraId="77C7ACFD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智能DHCP系统（CNS-APP200）</w:t>
            </w:r>
          </w:p>
          <w:p w14:paraId="7C5B2FC1">
            <w:pPr>
              <w:widowControl/>
              <w:spacing w:line="360" w:lineRule="auto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维保服务</w:t>
            </w:r>
          </w:p>
        </w:tc>
        <w:tc>
          <w:tcPr>
            <w:tcW w:w="951" w:type="dxa"/>
            <w:shd w:val="clear" w:color="auto" w:fill="FFFFFF"/>
            <w:vAlign w:val="center"/>
          </w:tcPr>
          <w:p w14:paraId="443D4D6D">
            <w:pPr>
              <w:widowControl/>
              <w:spacing w:line="360" w:lineRule="auto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2台</w:t>
            </w:r>
          </w:p>
        </w:tc>
        <w:tc>
          <w:tcPr>
            <w:tcW w:w="3237" w:type="dxa"/>
            <w:shd w:val="clear" w:color="auto" w:fill="FFFFFF"/>
            <w:vAlign w:val="center"/>
          </w:tcPr>
          <w:p w14:paraId="47D396CA">
            <w:pPr>
              <w:widowControl/>
              <w:spacing w:line="360" w:lineRule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维保期内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电话技术支持、远程技术支持、硬件维修/替换、现场巡检服务、系统功能介质远程升级服务；</w:t>
            </w:r>
          </w:p>
        </w:tc>
      </w:tr>
      <w:tr w14:paraId="487C5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882" w:type="dxa"/>
            <w:shd w:val="clear" w:color="auto" w:fill="FFFFFF"/>
            <w:vAlign w:val="center"/>
          </w:tcPr>
          <w:p w14:paraId="58285DE7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199" w:type="dxa"/>
            <w:shd w:val="clear" w:color="auto" w:fill="FFFFFF"/>
            <w:vAlign w:val="center"/>
          </w:tcPr>
          <w:p w14:paraId="69671D6C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智能DNS系统（CNS-APP200）</w:t>
            </w:r>
          </w:p>
          <w:p w14:paraId="071FDBDF">
            <w:pPr>
              <w:widowControl/>
              <w:spacing w:line="360" w:lineRule="auto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维保服务</w:t>
            </w:r>
          </w:p>
        </w:tc>
        <w:tc>
          <w:tcPr>
            <w:tcW w:w="951" w:type="dxa"/>
            <w:shd w:val="clear" w:color="auto" w:fill="FFFFFF"/>
            <w:vAlign w:val="center"/>
          </w:tcPr>
          <w:p w14:paraId="6D3151B9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2台</w:t>
            </w:r>
          </w:p>
        </w:tc>
        <w:tc>
          <w:tcPr>
            <w:tcW w:w="3237" w:type="dxa"/>
            <w:shd w:val="clear" w:color="auto" w:fill="FFFFFF"/>
            <w:vAlign w:val="center"/>
          </w:tcPr>
          <w:p w14:paraId="4D2B0F2A">
            <w:pPr>
              <w:widowControl/>
              <w:spacing w:line="360" w:lineRule="auto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维保期内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电话技术支持、远程技术支持、硬件维修/替换、现场巡检服务、系统功能介质远程升级服务；</w:t>
            </w:r>
          </w:p>
        </w:tc>
      </w:tr>
      <w:tr w14:paraId="7EFA8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882" w:type="dxa"/>
            <w:shd w:val="clear" w:color="auto" w:fill="FFFFFF"/>
            <w:vAlign w:val="center"/>
          </w:tcPr>
          <w:p w14:paraId="3328ABA2"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（二）</w:t>
            </w:r>
          </w:p>
        </w:tc>
        <w:tc>
          <w:tcPr>
            <w:tcW w:w="7387" w:type="dxa"/>
            <w:gridSpan w:val="3"/>
            <w:shd w:val="clear" w:color="auto" w:fill="FFFFFF"/>
            <w:vAlign w:val="center"/>
          </w:tcPr>
          <w:p w14:paraId="5E7B635F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美创科技产品维保服务</w:t>
            </w:r>
          </w:p>
        </w:tc>
      </w:tr>
      <w:tr w14:paraId="38E4B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882" w:type="dxa"/>
            <w:shd w:val="clear" w:color="auto" w:fill="FFFFFF"/>
            <w:vAlign w:val="center"/>
          </w:tcPr>
          <w:p w14:paraId="74AB4DD2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199" w:type="dxa"/>
            <w:shd w:val="clear" w:color="auto" w:fill="FFFFFF"/>
            <w:vAlign w:val="center"/>
          </w:tcPr>
          <w:p w14:paraId="500AD9A8">
            <w:pPr>
              <w:spacing w:line="360" w:lineRule="auto"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数据库防火墙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MC-DF_EE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)</w:t>
            </w:r>
          </w:p>
          <w:p w14:paraId="1965DBDF"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维保服务</w:t>
            </w:r>
          </w:p>
        </w:tc>
        <w:tc>
          <w:tcPr>
            <w:tcW w:w="951" w:type="dxa"/>
            <w:shd w:val="clear" w:color="auto" w:fill="FFFFFF"/>
            <w:vAlign w:val="center"/>
          </w:tcPr>
          <w:p w14:paraId="30E4E464">
            <w:pPr>
              <w:widowControl/>
              <w:spacing w:line="360" w:lineRule="auto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3237" w:type="dxa"/>
            <w:shd w:val="clear" w:color="auto" w:fill="FFFFFF"/>
            <w:vAlign w:val="center"/>
          </w:tcPr>
          <w:p w14:paraId="4268F139">
            <w:pPr>
              <w:widowControl/>
              <w:spacing w:line="360" w:lineRule="auto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提供7×24小时电话支持和上门质保维护服务；提供软件补丁修复服务；产品使用咨询服务，并安排两次质量回访和巡检服务；故障硬件、配件维保服务；</w:t>
            </w:r>
          </w:p>
        </w:tc>
      </w:tr>
      <w:tr w14:paraId="79894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882" w:type="dxa"/>
            <w:shd w:val="clear" w:color="auto" w:fill="FFFFFF"/>
            <w:vAlign w:val="center"/>
          </w:tcPr>
          <w:p w14:paraId="0415CC31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199" w:type="dxa"/>
            <w:shd w:val="clear" w:color="auto" w:fill="FFFFFF"/>
            <w:vAlign w:val="center"/>
          </w:tcPr>
          <w:p w14:paraId="3925C4FD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数据库防水坝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MC-DW_SE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)</w:t>
            </w:r>
          </w:p>
          <w:p w14:paraId="6EAEC9B5"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维保服务</w:t>
            </w:r>
          </w:p>
        </w:tc>
        <w:tc>
          <w:tcPr>
            <w:tcW w:w="951" w:type="dxa"/>
            <w:shd w:val="clear" w:color="auto" w:fill="FFFFFF"/>
            <w:vAlign w:val="center"/>
          </w:tcPr>
          <w:p w14:paraId="01BD38D3"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1台</w:t>
            </w:r>
          </w:p>
        </w:tc>
        <w:tc>
          <w:tcPr>
            <w:tcW w:w="3237" w:type="dxa"/>
            <w:shd w:val="clear" w:color="auto" w:fill="FFFFFF"/>
            <w:vAlign w:val="center"/>
          </w:tcPr>
          <w:p w14:paraId="4A1665D0">
            <w:pPr>
              <w:widowControl/>
              <w:spacing w:line="360" w:lineRule="auto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提供7×24小时电话支持和上门质保维护服务；提供软件补丁修复服务；产品使用咨询服务，并安排两次质量回访和巡检服务；故障硬件、配件维保服务；</w:t>
            </w:r>
          </w:p>
        </w:tc>
      </w:tr>
      <w:tr w14:paraId="14C4C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882" w:type="dxa"/>
            <w:shd w:val="clear" w:color="auto" w:fill="FFFFFF"/>
            <w:vAlign w:val="center"/>
          </w:tcPr>
          <w:p w14:paraId="1F033E1F"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（三）</w:t>
            </w:r>
          </w:p>
        </w:tc>
        <w:tc>
          <w:tcPr>
            <w:tcW w:w="7387" w:type="dxa"/>
            <w:gridSpan w:val="3"/>
            <w:shd w:val="clear" w:color="auto" w:fill="FFFFFF"/>
            <w:vAlign w:val="center"/>
          </w:tcPr>
          <w:p w14:paraId="06444417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绿盟科技产品维保服务</w:t>
            </w:r>
          </w:p>
        </w:tc>
      </w:tr>
      <w:tr w14:paraId="34EB7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882" w:type="dxa"/>
            <w:shd w:val="clear" w:color="auto" w:fill="FFFFFF"/>
            <w:vAlign w:val="center"/>
          </w:tcPr>
          <w:p w14:paraId="320FF435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199" w:type="dxa"/>
            <w:shd w:val="clear" w:color="auto" w:fill="FFFFFF"/>
            <w:vAlign w:val="center"/>
          </w:tcPr>
          <w:p w14:paraId="4334A549">
            <w:pPr>
              <w:widowControl/>
              <w:spacing w:line="360" w:lineRule="auto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绿盟网络入侵检测系统V5.6（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NIDSNX3-HD4200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）维保服务</w:t>
            </w:r>
          </w:p>
        </w:tc>
        <w:tc>
          <w:tcPr>
            <w:tcW w:w="951" w:type="dxa"/>
            <w:shd w:val="clear" w:color="auto" w:fill="FFFFFF"/>
            <w:vAlign w:val="center"/>
          </w:tcPr>
          <w:p w14:paraId="56E2B5A7"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3237" w:type="dxa"/>
            <w:shd w:val="clear" w:color="auto" w:fill="FFFFFF"/>
            <w:vAlign w:val="center"/>
          </w:tcPr>
          <w:p w14:paraId="7DF7492E">
            <w:pPr>
              <w:widowControl/>
              <w:spacing w:line="360" w:lineRule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提供产品系统升级授权；远程支持服务；产品保修服务；硬件故障上门支持；引擎自带功能的升级授权；特征库升级；</w:t>
            </w:r>
          </w:p>
        </w:tc>
      </w:tr>
      <w:tr w14:paraId="4FBD5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882" w:type="dxa"/>
            <w:shd w:val="clear" w:color="auto" w:fill="FFFFFF"/>
            <w:vAlign w:val="center"/>
          </w:tcPr>
          <w:p w14:paraId="3ACEF2AB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199" w:type="dxa"/>
            <w:shd w:val="clear" w:color="auto" w:fill="FFFFFF"/>
            <w:vAlign w:val="center"/>
          </w:tcPr>
          <w:p w14:paraId="6B3EF161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绿盟WEB应用防护系统 V6.0（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WAFNX5-P1600A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）维保服务</w:t>
            </w:r>
          </w:p>
        </w:tc>
        <w:tc>
          <w:tcPr>
            <w:tcW w:w="951" w:type="dxa"/>
            <w:shd w:val="clear" w:color="auto" w:fill="FFFFFF"/>
            <w:vAlign w:val="center"/>
          </w:tcPr>
          <w:p w14:paraId="2E9E4B6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3237" w:type="dxa"/>
            <w:shd w:val="clear" w:color="auto" w:fill="FFFFFF"/>
            <w:vAlign w:val="center"/>
          </w:tcPr>
          <w:p w14:paraId="1B55E601">
            <w:pPr>
              <w:widowControl/>
              <w:spacing w:line="360" w:lineRule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提供设备故障整机免费换新服务；提供硬件产品维保，包含产品系统升级授权、产品保修、特征库升级、远程支持服务、硬件故障上门支持；</w:t>
            </w:r>
          </w:p>
        </w:tc>
      </w:tr>
      <w:tr w14:paraId="11C30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882" w:type="dxa"/>
            <w:shd w:val="clear" w:color="auto" w:fill="FFFFFF"/>
            <w:vAlign w:val="center"/>
          </w:tcPr>
          <w:p w14:paraId="24D38825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199" w:type="dxa"/>
            <w:shd w:val="clear" w:color="auto" w:fill="FFFFFF"/>
            <w:vAlign w:val="center"/>
          </w:tcPr>
          <w:p w14:paraId="3587E1D1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绿盟WEB应用防护系统 （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WAFNX5-HD4000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）维保服务</w:t>
            </w:r>
          </w:p>
        </w:tc>
        <w:tc>
          <w:tcPr>
            <w:tcW w:w="951" w:type="dxa"/>
            <w:shd w:val="clear" w:color="auto" w:fill="FFFFFF"/>
            <w:vAlign w:val="center"/>
          </w:tcPr>
          <w:p w14:paraId="45F0ED0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1台</w:t>
            </w:r>
          </w:p>
        </w:tc>
        <w:tc>
          <w:tcPr>
            <w:tcW w:w="3237" w:type="dxa"/>
            <w:shd w:val="clear" w:color="auto" w:fill="FFFFFF"/>
            <w:vAlign w:val="center"/>
          </w:tcPr>
          <w:p w14:paraId="401CF0A0">
            <w:pPr>
              <w:widowControl/>
              <w:spacing w:line="360" w:lineRule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提供硬件产品维保，包含产品系统升级授权、产品保修、特征库升级、远程支持服务、硬件故障上门支持；</w:t>
            </w:r>
          </w:p>
        </w:tc>
      </w:tr>
      <w:tr w14:paraId="5602A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882" w:type="dxa"/>
            <w:shd w:val="clear" w:color="auto" w:fill="FFFFFF"/>
            <w:vAlign w:val="center"/>
          </w:tcPr>
          <w:p w14:paraId="61EF7C35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（四）</w:t>
            </w:r>
          </w:p>
        </w:tc>
        <w:tc>
          <w:tcPr>
            <w:tcW w:w="7387" w:type="dxa"/>
            <w:gridSpan w:val="3"/>
            <w:shd w:val="clear" w:color="auto" w:fill="FFFFFF"/>
            <w:vAlign w:val="center"/>
          </w:tcPr>
          <w:p w14:paraId="21C481DD">
            <w:pPr>
              <w:pStyle w:val="10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安恒产品维保服务</w:t>
            </w:r>
          </w:p>
        </w:tc>
      </w:tr>
      <w:tr w14:paraId="578A4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882" w:type="dxa"/>
            <w:shd w:val="clear" w:color="auto" w:fill="FFFFFF"/>
            <w:vAlign w:val="center"/>
          </w:tcPr>
          <w:p w14:paraId="5EC00A4C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199" w:type="dxa"/>
            <w:shd w:val="clear" w:color="auto" w:fill="FFFFFF"/>
            <w:vAlign w:val="center"/>
          </w:tcPr>
          <w:p w14:paraId="5A651BA9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数据库审计系统(A3280）</w:t>
            </w:r>
          </w:p>
          <w:p w14:paraId="6F5A535C">
            <w:pPr>
              <w:widowControl/>
              <w:spacing w:line="360" w:lineRule="auto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维保服务</w:t>
            </w:r>
          </w:p>
        </w:tc>
        <w:tc>
          <w:tcPr>
            <w:tcW w:w="951" w:type="dxa"/>
            <w:shd w:val="clear" w:color="auto" w:fill="FFFFFF"/>
            <w:vAlign w:val="center"/>
          </w:tcPr>
          <w:p w14:paraId="40B5322D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3237" w:type="dxa"/>
            <w:shd w:val="clear" w:color="auto" w:fill="FFFFFF"/>
            <w:vAlign w:val="center"/>
          </w:tcPr>
          <w:p w14:paraId="05161477">
            <w:pPr>
              <w:widowControl/>
              <w:spacing w:line="360" w:lineRule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提供硬件产品维保，包含产品系统升级授权、产品保修、特征库升级、远程支持服务、硬件故障上门支持；</w:t>
            </w:r>
          </w:p>
        </w:tc>
      </w:tr>
      <w:tr w14:paraId="187FC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882" w:type="dxa"/>
            <w:shd w:val="clear" w:color="auto" w:fill="FFFFFF"/>
            <w:vAlign w:val="center"/>
          </w:tcPr>
          <w:p w14:paraId="3460C809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（五）</w:t>
            </w:r>
          </w:p>
        </w:tc>
        <w:tc>
          <w:tcPr>
            <w:tcW w:w="7387" w:type="dxa"/>
            <w:gridSpan w:val="3"/>
            <w:shd w:val="clear" w:color="auto" w:fill="FFFFFF"/>
            <w:vAlign w:val="center"/>
          </w:tcPr>
          <w:p w14:paraId="46A523B6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默安产品维保服务</w:t>
            </w:r>
          </w:p>
        </w:tc>
      </w:tr>
      <w:tr w14:paraId="7A037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882" w:type="dxa"/>
            <w:shd w:val="clear" w:color="auto" w:fill="FFFFFF"/>
            <w:vAlign w:val="center"/>
          </w:tcPr>
          <w:p w14:paraId="664B8F06">
            <w:pPr>
              <w:widowControl/>
              <w:spacing w:line="360" w:lineRule="auto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199" w:type="dxa"/>
            <w:shd w:val="clear" w:color="auto" w:fill="FFFFFF"/>
            <w:vAlign w:val="center"/>
          </w:tcPr>
          <w:p w14:paraId="571C7B16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默安幻阵系统(蜜罐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HP-8008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) 维保服务</w:t>
            </w:r>
          </w:p>
        </w:tc>
        <w:tc>
          <w:tcPr>
            <w:tcW w:w="951" w:type="dxa"/>
            <w:shd w:val="clear" w:color="auto" w:fill="FFFFFF"/>
            <w:vAlign w:val="center"/>
          </w:tcPr>
          <w:p w14:paraId="1D14F1B6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3237" w:type="dxa"/>
            <w:shd w:val="clear" w:color="auto" w:fill="FFFFFF"/>
            <w:vAlign w:val="center"/>
          </w:tcPr>
          <w:p w14:paraId="7E424966">
            <w:pPr>
              <w:widowControl/>
              <w:spacing w:line="360" w:lineRule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提供7*24小时产品问题咨询和远程技术支持；提供2次远程巡检服务；提供设备故障保修服务；提供软件版本升级服务；</w:t>
            </w:r>
          </w:p>
        </w:tc>
      </w:tr>
      <w:tr w14:paraId="7867D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882" w:type="dxa"/>
            <w:shd w:val="clear" w:color="auto" w:fill="FFFFFF"/>
            <w:vAlign w:val="center"/>
          </w:tcPr>
          <w:p w14:paraId="249D2B35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（六）</w:t>
            </w:r>
          </w:p>
        </w:tc>
        <w:tc>
          <w:tcPr>
            <w:tcW w:w="7387" w:type="dxa"/>
            <w:gridSpan w:val="3"/>
            <w:shd w:val="clear" w:color="auto" w:fill="FFFFFF"/>
            <w:vAlign w:val="center"/>
          </w:tcPr>
          <w:p w14:paraId="0B816804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深信服产品维保服务</w:t>
            </w:r>
          </w:p>
        </w:tc>
      </w:tr>
      <w:tr w14:paraId="6C433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882" w:type="dxa"/>
            <w:shd w:val="clear" w:color="auto" w:fill="FFFFFF"/>
            <w:vAlign w:val="center"/>
          </w:tcPr>
          <w:p w14:paraId="5263E094">
            <w:pPr>
              <w:widowControl/>
              <w:spacing w:line="360" w:lineRule="auto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199" w:type="dxa"/>
            <w:shd w:val="clear" w:color="auto" w:fill="FFFFFF"/>
            <w:vAlign w:val="center"/>
          </w:tcPr>
          <w:p w14:paraId="39B6E12D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统一端点安全管理系统V6.0（aES）维保服务</w:t>
            </w:r>
          </w:p>
        </w:tc>
        <w:tc>
          <w:tcPr>
            <w:tcW w:w="951" w:type="dxa"/>
            <w:shd w:val="clear" w:color="auto" w:fill="FFFFFF"/>
            <w:vAlign w:val="center"/>
          </w:tcPr>
          <w:p w14:paraId="1FB914F5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3237" w:type="dxa"/>
            <w:shd w:val="clear" w:color="auto" w:fill="FFFFFF"/>
            <w:vAlign w:val="center"/>
          </w:tcPr>
          <w:p w14:paraId="7E67EB9A">
            <w:pPr>
              <w:widowControl/>
              <w:spacing w:line="360" w:lineRule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提供一年原厂维保服务，包括产品版本升级 、安全云脑在线分析 、人工智能算法模型更新 、病毒库更新 、引擎特征升级等。</w:t>
            </w:r>
          </w:p>
        </w:tc>
      </w:tr>
      <w:tr w14:paraId="6961A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882" w:type="dxa"/>
            <w:shd w:val="clear" w:color="auto" w:fill="FFFFFF"/>
            <w:vAlign w:val="center"/>
          </w:tcPr>
          <w:p w14:paraId="2FBAF3E1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（七）</w:t>
            </w:r>
          </w:p>
        </w:tc>
        <w:tc>
          <w:tcPr>
            <w:tcW w:w="7387" w:type="dxa"/>
            <w:gridSpan w:val="3"/>
            <w:shd w:val="clear" w:color="auto" w:fill="FFFFFF"/>
            <w:vAlign w:val="center"/>
          </w:tcPr>
          <w:p w14:paraId="14971B49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网瑞达产品维保服务</w:t>
            </w:r>
          </w:p>
        </w:tc>
      </w:tr>
      <w:tr w14:paraId="4C686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882" w:type="dxa"/>
            <w:shd w:val="clear" w:color="auto" w:fill="FFFFFF"/>
            <w:vAlign w:val="center"/>
          </w:tcPr>
          <w:p w14:paraId="43D4E55D">
            <w:pPr>
              <w:widowControl/>
              <w:spacing w:line="360" w:lineRule="auto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199" w:type="dxa"/>
            <w:shd w:val="clear" w:color="auto" w:fill="FFFFFF"/>
            <w:vAlign w:val="center"/>
          </w:tcPr>
          <w:p w14:paraId="7C9E8259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WEBVPN设备（ITMS-5600-P1）维保服务</w:t>
            </w:r>
          </w:p>
        </w:tc>
        <w:tc>
          <w:tcPr>
            <w:tcW w:w="951" w:type="dxa"/>
            <w:shd w:val="clear" w:color="auto" w:fill="FFFFFF"/>
            <w:vAlign w:val="center"/>
          </w:tcPr>
          <w:p w14:paraId="3BD7DDDD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3237" w:type="dxa"/>
            <w:shd w:val="clear" w:color="auto" w:fill="FFFFFF"/>
            <w:vAlign w:val="center"/>
          </w:tcPr>
          <w:p w14:paraId="3FDCF270">
            <w:pPr>
              <w:widowControl/>
              <w:spacing w:line="360" w:lineRule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提供维保服务:电话技术支持、远程技术支持硬件维修/备件替换、巡检服务、系统功能介质远程升级服务、补丁升级等。</w:t>
            </w:r>
          </w:p>
        </w:tc>
      </w:tr>
      <w:tr w14:paraId="004CE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882" w:type="dxa"/>
            <w:shd w:val="clear" w:color="auto" w:fill="FFFFFF"/>
            <w:vAlign w:val="center"/>
          </w:tcPr>
          <w:p w14:paraId="0827F42F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（八）</w:t>
            </w:r>
          </w:p>
        </w:tc>
        <w:tc>
          <w:tcPr>
            <w:tcW w:w="7387" w:type="dxa"/>
            <w:gridSpan w:val="3"/>
            <w:shd w:val="clear" w:color="auto" w:fill="FFFFFF"/>
            <w:vAlign w:val="center"/>
          </w:tcPr>
          <w:p w14:paraId="7F23EF47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亚信安全产品维保服务</w:t>
            </w:r>
          </w:p>
        </w:tc>
      </w:tr>
      <w:tr w14:paraId="3E3A9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882" w:type="dxa"/>
            <w:shd w:val="clear" w:color="auto" w:fill="FFFFFF"/>
            <w:vAlign w:val="center"/>
          </w:tcPr>
          <w:p w14:paraId="71B19EA3">
            <w:pPr>
              <w:widowControl/>
              <w:spacing w:line="360" w:lineRule="auto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199" w:type="dxa"/>
            <w:shd w:val="clear" w:color="auto" w:fill="FFFFFF"/>
            <w:vAlign w:val="center"/>
          </w:tcPr>
          <w:p w14:paraId="29D73105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下一代防病毒网关（deepedge12000）维保服务</w:t>
            </w:r>
          </w:p>
        </w:tc>
        <w:tc>
          <w:tcPr>
            <w:tcW w:w="951" w:type="dxa"/>
            <w:shd w:val="clear" w:color="auto" w:fill="FFFFFF"/>
            <w:vAlign w:val="center"/>
          </w:tcPr>
          <w:p w14:paraId="0483BC8A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3237" w:type="dxa"/>
            <w:shd w:val="clear" w:color="auto" w:fill="FFFFFF"/>
            <w:vAlign w:val="center"/>
          </w:tcPr>
          <w:p w14:paraId="3FD225C7">
            <w:pPr>
              <w:widowControl/>
              <w:spacing w:line="360" w:lineRule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提供硬件产品维保，包含产品系统升级授权、产品保修、特征库升级、远程支持服务、硬件故障上门支持。</w:t>
            </w:r>
          </w:p>
        </w:tc>
      </w:tr>
      <w:tr w14:paraId="56672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882" w:type="dxa"/>
            <w:shd w:val="clear" w:color="auto" w:fill="FFFFFF"/>
            <w:vAlign w:val="center"/>
          </w:tcPr>
          <w:p w14:paraId="227FCC3F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（九）</w:t>
            </w:r>
          </w:p>
        </w:tc>
        <w:tc>
          <w:tcPr>
            <w:tcW w:w="7387" w:type="dxa"/>
            <w:gridSpan w:val="3"/>
            <w:shd w:val="clear" w:color="auto" w:fill="FFFFFF"/>
            <w:vAlign w:val="center"/>
          </w:tcPr>
          <w:p w14:paraId="7CF3447F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江苏金智产品维保服务</w:t>
            </w:r>
          </w:p>
        </w:tc>
      </w:tr>
      <w:tr w14:paraId="0CA89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882" w:type="dxa"/>
            <w:shd w:val="clear" w:color="auto" w:fill="FFFFFF"/>
            <w:vAlign w:val="center"/>
          </w:tcPr>
          <w:p w14:paraId="69438A0B">
            <w:pPr>
              <w:widowControl/>
              <w:spacing w:line="360" w:lineRule="auto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199" w:type="dxa"/>
            <w:shd w:val="clear" w:color="auto" w:fill="FFFFFF"/>
            <w:vAlign w:val="center"/>
          </w:tcPr>
          <w:p w14:paraId="21BABE0B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智慧校园系统维保服务</w:t>
            </w:r>
          </w:p>
        </w:tc>
        <w:tc>
          <w:tcPr>
            <w:tcW w:w="951" w:type="dxa"/>
            <w:shd w:val="clear" w:color="auto" w:fill="FFFFFF"/>
            <w:vAlign w:val="center"/>
          </w:tcPr>
          <w:p w14:paraId="1C78DAE4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3237" w:type="dxa"/>
            <w:shd w:val="clear" w:color="auto" w:fill="FFFFFF"/>
            <w:vAlign w:val="center"/>
          </w:tcPr>
          <w:p w14:paraId="546B19DD">
            <w:pPr>
              <w:widowControl/>
              <w:spacing w:line="360" w:lineRule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提供一年原厂维保服务，包括融合门户、移动门户、消息中心、待办中心、身份认证、应用管理平台、人事、学工、百事通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运维服务。</w:t>
            </w:r>
          </w:p>
        </w:tc>
      </w:tr>
    </w:tbl>
    <w:p w14:paraId="6B855B46">
      <w:pPr>
        <w:pStyle w:val="7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 w:cs="仿宋"/>
          <w:b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★</w:t>
      </w:r>
      <w:r>
        <w:rPr>
          <w:rFonts w:hint="eastAsia" w:ascii="仿宋" w:hAnsi="仿宋" w:eastAsia="仿宋" w:cs="仿宋"/>
          <w:b/>
          <w:bCs/>
          <w:lang w:val="en-US" w:eastAsia="zh-CN"/>
        </w:rPr>
        <w:t>提供2027年1月1日至2027年12月31日的系统运维、升级授权、软硬件（含配件）维保和保修服务。</w:t>
      </w:r>
    </w:p>
    <w:p w14:paraId="02AE807B">
      <w:pPr>
        <w:pStyle w:val="7"/>
        <w:spacing w:before="0" w:beforeAutospacing="0" w:after="0" w:afterAutospacing="0" w:line="360" w:lineRule="auto"/>
        <w:ind w:firstLine="480" w:firstLineChars="200"/>
        <w:rPr>
          <w:rFonts w:hint="eastAsia" w:ascii="仿宋" w:hAnsi="仿宋" w:eastAsia="仿宋" w:cs="仿宋"/>
          <w:b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★</w:t>
      </w:r>
      <w:r>
        <w:rPr>
          <w:rFonts w:hint="eastAsia" w:ascii="仿宋" w:hAnsi="仿宋" w:eastAsia="仿宋" w:cs="仿宋"/>
          <w:b/>
          <w:bCs/>
          <w:lang w:val="en-US" w:eastAsia="zh-CN"/>
        </w:rPr>
        <w:t>系统及特征码升级授权须由原厂提供，系统管理页面可显示、查询。</w:t>
      </w:r>
    </w:p>
    <w:p w14:paraId="513EBE44">
      <w:pPr>
        <w:pStyle w:val="7"/>
        <w:spacing w:before="0" w:beforeAutospacing="0" w:after="0" w:afterAutospacing="0" w:line="360" w:lineRule="auto"/>
        <w:ind w:firstLine="482" w:firstLineChars="200"/>
        <w:rPr>
          <w:rFonts w:hint="default" w:ascii="仿宋" w:hAnsi="仿宋" w:eastAsia="仿宋" w:cs="仿宋"/>
          <w:b/>
          <w:bCs/>
          <w:lang w:val="en-US" w:eastAsia="zh-CN"/>
        </w:rPr>
      </w:pPr>
      <w:r>
        <w:rPr>
          <w:rFonts w:hint="eastAsia" w:ascii="仿宋" w:hAnsi="仿宋" w:eastAsia="仿宋" w:cs="仿宋"/>
          <w:b/>
          <w:bCs/>
          <w:lang w:val="en-US" w:eastAsia="zh-CN"/>
        </w:rPr>
        <w:t>★服务期间涉及设备或配件更换的，需提供原厂产品。</w:t>
      </w:r>
    </w:p>
    <w:p w14:paraId="2DF35B2F">
      <w:pPr>
        <w:pStyle w:val="7"/>
        <w:spacing w:before="0" w:beforeAutospacing="0" w:after="0" w:afterAutospacing="0" w:line="360" w:lineRule="auto"/>
        <w:ind w:firstLine="482" w:firstLineChars="200"/>
        <w:rPr>
          <w:rFonts w:hint="eastAsia" w:ascii="仿宋" w:hAnsi="仿宋" w:eastAsia="仿宋" w:cs="仿宋"/>
          <w:b/>
          <w:bCs/>
          <w:lang w:val="en-US" w:eastAsia="zh-CN"/>
        </w:rPr>
      </w:pPr>
    </w:p>
    <w:p w14:paraId="36B0F3EC">
      <w:pPr>
        <w:numPr>
          <w:ilvl w:val="0"/>
          <w:numId w:val="1"/>
        </w:numPr>
        <w:spacing w:line="360" w:lineRule="auto"/>
        <w:ind w:left="0" w:leftChars="0" w:firstLine="0" w:firstLineChars="0"/>
        <w:jc w:val="left"/>
        <w:outlineLvl w:val="0"/>
        <w:rPr>
          <w:rFonts w:ascii="仿宋" w:hAnsi="仿宋" w:eastAsia="仿宋" w:cs="仿宋"/>
          <w:b/>
          <w:sz w:val="24"/>
        </w:rPr>
      </w:pPr>
      <w:r>
        <w:rPr>
          <w:rFonts w:hint="eastAsia" w:ascii="仿宋" w:hAnsi="仿宋" w:eastAsia="仿宋" w:cs="仿宋"/>
          <w:b/>
          <w:sz w:val="24"/>
          <w:lang w:val="en-US" w:eastAsia="zh-CN"/>
        </w:rPr>
        <w:t>商务要求</w:t>
      </w:r>
    </w:p>
    <w:p w14:paraId="2D8C7985">
      <w:pPr>
        <w:pStyle w:val="2"/>
        <w:numPr>
          <w:ilvl w:val="0"/>
          <w:numId w:val="2"/>
        </w:numPr>
        <w:ind w:left="0" w:leftChars="0" w:firstLine="480" w:firstLineChars="200"/>
        <w:rPr>
          <w:rFonts w:hint="eastAsia" w:ascii="仿宋" w:hAnsi="仿宋" w:eastAsia="仿宋" w:cs="仿宋"/>
          <w:b w:val="0"/>
          <w:bCs/>
          <w:sz w:val="24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4"/>
          <w:lang w:val="en-US" w:eastAsia="zh-CN"/>
        </w:rPr>
        <w:t>合同签订后10个工作日内将原厂相关授权部署到对应设备，以系统管理页面可查询为准，被授权对象须是“福建中医药大学”。</w:t>
      </w:r>
    </w:p>
    <w:p w14:paraId="6DAD7C71">
      <w:pPr>
        <w:pStyle w:val="2"/>
        <w:numPr>
          <w:ilvl w:val="0"/>
          <w:numId w:val="2"/>
        </w:numPr>
        <w:ind w:left="0" w:leftChars="0" w:firstLine="480" w:firstLineChars="200"/>
        <w:rPr>
          <w:rFonts w:hint="default" w:ascii="仿宋" w:hAnsi="仿宋" w:eastAsia="仿宋" w:cs="仿宋"/>
          <w:b w:val="0"/>
          <w:bCs/>
          <w:sz w:val="24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4"/>
          <w:lang w:val="en-US" w:eastAsia="zh-CN"/>
        </w:rPr>
        <w:t>项目付款分为两个阶段：</w:t>
      </w:r>
    </w:p>
    <w:p w14:paraId="3E11007A">
      <w:pPr>
        <w:pStyle w:val="2"/>
        <w:numPr>
          <w:ilvl w:val="0"/>
          <w:numId w:val="0"/>
        </w:numPr>
        <w:ind w:leftChars="200" w:firstLine="480" w:firstLineChars="200"/>
        <w:rPr>
          <w:rFonts w:hint="eastAsia" w:ascii="仿宋" w:hAnsi="仿宋" w:eastAsia="仿宋" w:cs="仿宋"/>
          <w:b w:val="0"/>
          <w:bCs/>
          <w:sz w:val="24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4"/>
          <w:lang w:val="en-US" w:eastAsia="zh-CN"/>
        </w:rPr>
        <w:t>服务满6个月，中标人出具项目中期总结报告，持合同额50%发票报采购人转账支付相应款项；</w:t>
      </w:r>
    </w:p>
    <w:p w14:paraId="154295CC">
      <w:pPr>
        <w:pStyle w:val="2"/>
        <w:numPr>
          <w:ilvl w:val="0"/>
          <w:numId w:val="0"/>
        </w:numPr>
        <w:ind w:leftChars="200" w:firstLine="480" w:firstLineChars="200"/>
        <w:rPr>
          <w:rFonts w:hint="eastAsia" w:ascii="仿宋" w:hAnsi="仿宋" w:eastAsia="仿宋" w:cs="仿宋"/>
          <w:b w:val="0"/>
          <w:bCs/>
          <w:sz w:val="24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4"/>
          <w:lang w:val="en-US" w:eastAsia="zh-CN"/>
        </w:rPr>
        <w:t>服务期满前，中标人出具项目总结材料，经采购人验收通过后，持合同额50%发票报采购人转账支付合同剩余款项；</w:t>
      </w:r>
    </w:p>
    <w:p w14:paraId="308D9372">
      <w:pPr>
        <w:pStyle w:val="2"/>
        <w:numPr>
          <w:ilvl w:val="0"/>
          <w:numId w:val="0"/>
        </w:numPr>
        <w:ind w:leftChars="200"/>
        <w:rPr>
          <w:rFonts w:hint="default" w:ascii="仿宋" w:hAnsi="仿宋" w:eastAsia="仿宋" w:cs="仿宋"/>
          <w:b/>
          <w:sz w:val="24"/>
          <w:lang w:val="en-US" w:eastAsia="zh-CN"/>
        </w:rPr>
      </w:pPr>
    </w:p>
    <w:p w14:paraId="145F7B7A">
      <w:pPr>
        <w:pStyle w:val="7"/>
        <w:spacing w:before="0" w:beforeAutospacing="0" w:after="0" w:afterAutospacing="0" w:line="360" w:lineRule="auto"/>
        <w:ind w:firstLine="482" w:firstLineChars="200"/>
        <w:rPr>
          <w:rFonts w:hint="default" w:ascii="仿宋" w:hAnsi="仿宋" w:eastAsia="仿宋" w:cs="仿宋"/>
          <w:b/>
          <w:bCs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4F0AE2"/>
    <w:multiLevelType w:val="singleLevel"/>
    <w:tmpl w:val="E04F0AE2"/>
    <w:lvl w:ilvl="0" w:tentative="0">
      <w:start w:val="1"/>
      <w:numFmt w:val="chineseCounting"/>
      <w:suff w:val="nothing"/>
      <w:lvlText w:val="%1、"/>
      <w:lvlJc w:val="left"/>
      <w:rPr>
        <w:rFonts w:hint="eastAsia" w:cs="Times New Roman"/>
      </w:rPr>
    </w:lvl>
  </w:abstractNum>
  <w:abstractNum w:abstractNumId="1">
    <w:nsid w:val="12B9C3D5"/>
    <w:multiLevelType w:val="singleLevel"/>
    <w:tmpl w:val="12B9C3D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FmZWZmMWU1ZjE5NjYxZDk0NTgyOWM1ZGVkYjUyYmYifQ=="/>
  </w:docVars>
  <w:rsids>
    <w:rsidRoot w:val="2CAC2729"/>
    <w:rsid w:val="000142E4"/>
    <w:rsid w:val="000C7BC9"/>
    <w:rsid w:val="00204AAD"/>
    <w:rsid w:val="002C058D"/>
    <w:rsid w:val="002E1642"/>
    <w:rsid w:val="00352447"/>
    <w:rsid w:val="0037708B"/>
    <w:rsid w:val="004413FD"/>
    <w:rsid w:val="00463159"/>
    <w:rsid w:val="00513CA2"/>
    <w:rsid w:val="00547EC9"/>
    <w:rsid w:val="005D5C3C"/>
    <w:rsid w:val="00632C2D"/>
    <w:rsid w:val="00735F42"/>
    <w:rsid w:val="007435BC"/>
    <w:rsid w:val="00770D77"/>
    <w:rsid w:val="0082793D"/>
    <w:rsid w:val="00896088"/>
    <w:rsid w:val="008973A6"/>
    <w:rsid w:val="008C284D"/>
    <w:rsid w:val="009A58C9"/>
    <w:rsid w:val="00A45A8F"/>
    <w:rsid w:val="00AA0133"/>
    <w:rsid w:val="00AB49F7"/>
    <w:rsid w:val="00AB6D55"/>
    <w:rsid w:val="00C2544A"/>
    <w:rsid w:val="00C3577C"/>
    <w:rsid w:val="00C36B06"/>
    <w:rsid w:val="00C40674"/>
    <w:rsid w:val="00CB0D63"/>
    <w:rsid w:val="00D016BD"/>
    <w:rsid w:val="00D45103"/>
    <w:rsid w:val="00DE6AE7"/>
    <w:rsid w:val="00DF332D"/>
    <w:rsid w:val="00EC34E4"/>
    <w:rsid w:val="00F42ABE"/>
    <w:rsid w:val="01294CE5"/>
    <w:rsid w:val="02F22C85"/>
    <w:rsid w:val="036D7252"/>
    <w:rsid w:val="03FA74D7"/>
    <w:rsid w:val="07B6075F"/>
    <w:rsid w:val="08C25C94"/>
    <w:rsid w:val="094D22D2"/>
    <w:rsid w:val="09832FB0"/>
    <w:rsid w:val="0CA4187D"/>
    <w:rsid w:val="0E8033D3"/>
    <w:rsid w:val="0FE20680"/>
    <w:rsid w:val="0FF64437"/>
    <w:rsid w:val="10244AC1"/>
    <w:rsid w:val="12B47E12"/>
    <w:rsid w:val="133D454B"/>
    <w:rsid w:val="13403A9F"/>
    <w:rsid w:val="14293155"/>
    <w:rsid w:val="184C7999"/>
    <w:rsid w:val="18A60DE5"/>
    <w:rsid w:val="192A160B"/>
    <w:rsid w:val="1A547BAF"/>
    <w:rsid w:val="1C0B7EEA"/>
    <w:rsid w:val="1C3C6FC3"/>
    <w:rsid w:val="1D3F66B9"/>
    <w:rsid w:val="20A344DA"/>
    <w:rsid w:val="212152E8"/>
    <w:rsid w:val="21343F15"/>
    <w:rsid w:val="21E93AF0"/>
    <w:rsid w:val="22EB3FC4"/>
    <w:rsid w:val="238166D6"/>
    <w:rsid w:val="24F14EB5"/>
    <w:rsid w:val="285701DD"/>
    <w:rsid w:val="2BE673A1"/>
    <w:rsid w:val="2CAC2729"/>
    <w:rsid w:val="2E8A5641"/>
    <w:rsid w:val="2F051A45"/>
    <w:rsid w:val="30BE05F3"/>
    <w:rsid w:val="33512F20"/>
    <w:rsid w:val="342C658A"/>
    <w:rsid w:val="369B3F26"/>
    <w:rsid w:val="36BD6C67"/>
    <w:rsid w:val="37EB09D5"/>
    <w:rsid w:val="38827AEB"/>
    <w:rsid w:val="393613E5"/>
    <w:rsid w:val="39527A3A"/>
    <w:rsid w:val="3B13113E"/>
    <w:rsid w:val="3C21118F"/>
    <w:rsid w:val="3C525F60"/>
    <w:rsid w:val="41450D7A"/>
    <w:rsid w:val="42AC50F2"/>
    <w:rsid w:val="43B9558F"/>
    <w:rsid w:val="45274CB7"/>
    <w:rsid w:val="473D089B"/>
    <w:rsid w:val="47FB14C3"/>
    <w:rsid w:val="49811183"/>
    <w:rsid w:val="4C405F26"/>
    <w:rsid w:val="4CDD40CE"/>
    <w:rsid w:val="4D3F3D9A"/>
    <w:rsid w:val="4D861393"/>
    <w:rsid w:val="4EA56E6D"/>
    <w:rsid w:val="510C41C6"/>
    <w:rsid w:val="514F55EE"/>
    <w:rsid w:val="544113E6"/>
    <w:rsid w:val="563263D1"/>
    <w:rsid w:val="5C8C7C48"/>
    <w:rsid w:val="5E8B37D3"/>
    <w:rsid w:val="5FA36047"/>
    <w:rsid w:val="604C2522"/>
    <w:rsid w:val="62584872"/>
    <w:rsid w:val="651678F1"/>
    <w:rsid w:val="65AD19D2"/>
    <w:rsid w:val="688E7799"/>
    <w:rsid w:val="696D158B"/>
    <w:rsid w:val="6A2D1D05"/>
    <w:rsid w:val="6C1E6C5B"/>
    <w:rsid w:val="6E5E2FB2"/>
    <w:rsid w:val="72563E57"/>
    <w:rsid w:val="751A66D1"/>
    <w:rsid w:val="757123E4"/>
    <w:rsid w:val="75CD4674"/>
    <w:rsid w:val="7CDD3315"/>
    <w:rsid w:val="7D6E29E8"/>
    <w:rsid w:val="7E696CC0"/>
    <w:rsid w:val="7EE04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4">
    <w:name w:val="Balloon Text"/>
    <w:basedOn w:val="1"/>
    <w:link w:val="11"/>
    <w:qFormat/>
    <w:uiPriority w:val="0"/>
    <w:rPr>
      <w:sz w:val="18"/>
      <w:szCs w:val="18"/>
    </w:rPr>
  </w:style>
  <w:style w:type="paragraph" w:styleId="5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0">
    <w:name w:val="Fließtext"/>
    <w:basedOn w:val="1"/>
    <w:qFormat/>
    <w:uiPriority w:val="0"/>
    <w:pPr>
      <w:overflowPunct w:val="0"/>
      <w:autoSpaceDE w:val="0"/>
      <w:autoSpaceDN w:val="0"/>
      <w:adjustRightInd w:val="0"/>
      <w:textAlignment w:val="baseline"/>
    </w:pPr>
    <w:rPr>
      <w:rFonts w:ascii="Calibri" w:hAnsi="Calibri"/>
      <w:kern w:val="28"/>
      <w:szCs w:val="20"/>
    </w:rPr>
  </w:style>
  <w:style w:type="character" w:customStyle="1" w:styleId="11">
    <w:name w:val="批注框文本 字符"/>
    <w:basedOn w:val="9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2">
    <w:name w:val="页眉 字符"/>
    <w:basedOn w:val="9"/>
    <w:link w:val="6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3">
    <w:name w:val="页脚 字符"/>
    <w:basedOn w:val="9"/>
    <w:link w:val="5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1403</Words>
  <Characters>1555</Characters>
  <Lines>25</Lines>
  <Paragraphs>7</Paragraphs>
  <TotalTime>1</TotalTime>
  <ScaleCrop>false</ScaleCrop>
  <LinksUpToDate>false</LinksUpToDate>
  <CharactersWithSpaces>1597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2022-06-27T06:51:00Z</dcterms:created>
  <dc:creator>卢翔骏</dc:creator>
  <cp:lastModifiedBy>郑怀宇</cp:lastModifiedBy>
  <dcterms:modified xsi:type="dcterms:W3CDTF">2026-10-22T08:37:14Z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1C5AB9A05E6A4DB088FB770729157D30_13</vt:lpwstr>
  </property>
  <property fmtid="{D5CDD505-2E9C-101B-9397-08002B2CF9AE}" pid="4" name="KSOTemplateDocerSaveRecord">
    <vt:lpwstr>eyJoZGlkIjoiMmE1MDljYTY4MzgxYWJmYmRmMDJjMmU2ZGQ3NWVjOWIiLCJ1c2VySWQiOiIxNDcxNTg3NDEzIn0=</vt:lpwstr>
  </property>
</Properties>
</file>