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4438F">
      <w:pPr>
        <w:jc w:val="center"/>
        <w:rPr>
          <w:rFonts w:hint="eastAsia" w:asciiTheme="majorEastAsia" w:hAnsiTheme="majorEastAsia" w:eastAsiaTheme="majorEastAsia" w:cstheme="majorEastAsia"/>
          <w:sz w:val="40"/>
          <w:szCs w:val="40"/>
          <w:lang w:val="en-US" w:eastAsia="zh-CN"/>
        </w:rPr>
      </w:pPr>
      <w:r>
        <w:rPr>
          <w:rFonts w:hint="eastAsia" w:asciiTheme="majorEastAsia" w:hAnsiTheme="majorEastAsia" w:eastAsiaTheme="majorEastAsia" w:cstheme="majorEastAsia"/>
          <w:sz w:val="40"/>
          <w:szCs w:val="40"/>
        </w:rPr>
        <w:t>信息系统商用密码</w:t>
      </w:r>
      <w:r>
        <w:rPr>
          <w:rFonts w:hint="eastAsia" w:asciiTheme="majorEastAsia" w:hAnsiTheme="majorEastAsia" w:eastAsiaTheme="majorEastAsia" w:cstheme="majorEastAsia"/>
          <w:sz w:val="40"/>
          <w:szCs w:val="40"/>
          <w:lang w:val="en-US" w:eastAsia="zh-CN"/>
        </w:rPr>
        <w:t>建设咨询及测评服务</w:t>
      </w:r>
    </w:p>
    <w:p w14:paraId="2EAA3ACB">
      <w:pPr>
        <w:keepNext/>
        <w:spacing w:before="60" w:after="60" w:line="360" w:lineRule="auto"/>
        <w:jc w:val="both"/>
        <w:rPr>
          <w:sz w:val="30"/>
          <w:szCs w:val="30"/>
        </w:rPr>
      </w:pPr>
      <w:r>
        <w:rPr>
          <w:rFonts w:ascii="仿宋_GB2312" w:hAnsi="仿宋_GB2312" w:eastAsia="仿宋_GB2312"/>
          <w:b/>
          <w:sz w:val="30"/>
          <w:szCs w:val="30"/>
        </w:rPr>
        <w:t>一、项目概况</w:t>
      </w:r>
    </w:p>
    <w:p w14:paraId="654E2F97">
      <w:pPr>
        <w:keepNext w:val="0"/>
        <w:spacing w:before="0" w:after="0" w:line="360" w:lineRule="auto"/>
        <w:ind w:firstLine="420"/>
        <w:jc w:val="both"/>
        <w:rPr>
          <w:sz w:val="24"/>
          <w:szCs w:val="24"/>
        </w:rPr>
      </w:pPr>
      <w:r>
        <w:rPr>
          <w:rFonts w:ascii="仿宋_GB2312" w:hAnsi="仿宋_GB2312" w:eastAsia="仿宋_GB2312"/>
          <w:b w:val="0"/>
          <w:sz w:val="24"/>
          <w:szCs w:val="24"/>
        </w:rPr>
        <w:t>本项目为福建中医药大学信息系统商用密码应用安全性评估项目，评估对象包括</w:t>
      </w:r>
      <w:r>
        <w:rPr>
          <w:rFonts w:hint="eastAsia"/>
          <w:b w:val="0"/>
          <w:sz w:val="24"/>
          <w:szCs w:val="24"/>
          <w:lang w:val="en-US" w:eastAsia="zh-CN"/>
        </w:rPr>
        <w:t>福建中医药大学网站群系统、科研管理系统和研究生管理等三</w:t>
      </w:r>
      <w:r>
        <w:rPr>
          <w:rFonts w:ascii="仿宋_GB2312" w:hAnsi="仿宋_GB2312" w:eastAsia="仿宋_GB2312"/>
          <w:b w:val="0"/>
          <w:sz w:val="24"/>
          <w:szCs w:val="24"/>
        </w:rPr>
        <w:t>个信息系统。</w:t>
      </w:r>
    </w:p>
    <w:p w14:paraId="2F728F6D">
      <w:pPr>
        <w:keepNext w:val="0"/>
        <w:spacing w:before="0" w:after="0" w:line="360" w:lineRule="auto"/>
        <w:ind w:firstLine="420"/>
        <w:jc w:val="both"/>
        <w:rPr>
          <w:sz w:val="24"/>
          <w:szCs w:val="24"/>
        </w:rPr>
      </w:pPr>
      <w:r>
        <w:rPr>
          <w:rFonts w:hint="eastAsia" w:ascii="仿宋_GB2312" w:hAnsi="仿宋_GB2312" w:eastAsia="仿宋_GB2312"/>
          <w:b w:val="0"/>
          <w:sz w:val="24"/>
          <w:szCs w:val="24"/>
        </w:rPr>
        <w:t>本项目</w:t>
      </w:r>
      <w:r>
        <w:rPr>
          <w:rFonts w:hint="eastAsia"/>
          <w:b w:val="0"/>
          <w:sz w:val="24"/>
          <w:szCs w:val="24"/>
          <w:lang w:val="en-US" w:eastAsia="zh-CN"/>
        </w:rPr>
        <w:t>旨在</w:t>
      </w:r>
      <w:r>
        <w:rPr>
          <w:rFonts w:hint="eastAsia" w:ascii="仿宋_GB2312" w:hAnsi="仿宋_GB2312" w:eastAsia="仿宋_GB2312"/>
          <w:b w:val="0"/>
          <w:sz w:val="24"/>
          <w:szCs w:val="24"/>
        </w:rPr>
        <w:t>委托具有相应资质的第三方机构</w:t>
      </w:r>
      <w:r>
        <w:rPr>
          <w:rFonts w:hint="eastAsia"/>
          <w:b w:val="0"/>
          <w:sz w:val="24"/>
          <w:szCs w:val="24"/>
          <w:lang w:eastAsia="zh-CN"/>
        </w:rPr>
        <w:t>，</w:t>
      </w:r>
      <w:r>
        <w:rPr>
          <w:rFonts w:ascii="仿宋_GB2312" w:hAnsi="仿宋_GB2312" w:eastAsia="仿宋_GB2312"/>
          <w:b w:val="0"/>
          <w:sz w:val="24"/>
          <w:szCs w:val="24"/>
        </w:rPr>
        <w:t>根据国家商用密码应用相关法律法规、政策文件及标准规范要求，</w:t>
      </w:r>
      <w:r>
        <w:rPr>
          <w:rFonts w:hint="eastAsia"/>
          <w:b w:val="0"/>
          <w:sz w:val="24"/>
          <w:szCs w:val="24"/>
          <w:lang w:val="en-US" w:eastAsia="zh-CN"/>
        </w:rPr>
        <w:t>针</w:t>
      </w:r>
      <w:r>
        <w:rPr>
          <w:rFonts w:ascii="仿宋_GB2312" w:hAnsi="仿宋_GB2312" w:eastAsia="仿宋_GB2312"/>
          <w:b w:val="0"/>
          <w:sz w:val="24"/>
          <w:szCs w:val="24"/>
        </w:rPr>
        <w:t>对上述</w:t>
      </w:r>
      <w:r>
        <w:rPr>
          <w:rFonts w:hint="eastAsia"/>
          <w:b w:val="0"/>
          <w:sz w:val="24"/>
          <w:szCs w:val="24"/>
          <w:lang w:val="en-US" w:eastAsia="zh-CN"/>
        </w:rPr>
        <w:t>三</w:t>
      </w:r>
      <w:r>
        <w:rPr>
          <w:rFonts w:ascii="仿宋_GB2312" w:hAnsi="仿宋_GB2312" w:eastAsia="仿宋_GB2312"/>
          <w:b w:val="0"/>
          <w:sz w:val="24"/>
          <w:szCs w:val="24"/>
        </w:rPr>
        <w:t>个信息系统</w:t>
      </w:r>
      <w:r>
        <w:rPr>
          <w:rFonts w:hint="eastAsia"/>
          <w:b w:val="0"/>
          <w:sz w:val="24"/>
          <w:szCs w:val="24"/>
          <w:lang w:val="en-US" w:eastAsia="zh-CN"/>
        </w:rPr>
        <w:t>提</w:t>
      </w:r>
      <w:r>
        <w:rPr>
          <w:rFonts w:hint="eastAsia" w:ascii="仿宋_GB2312" w:hAnsi="仿宋_GB2312" w:eastAsia="仿宋_GB2312"/>
          <w:b w:val="0"/>
          <w:sz w:val="24"/>
          <w:szCs w:val="24"/>
        </w:rPr>
        <w:t>供商用密码应用安全性评估及咨询服务</w:t>
      </w:r>
      <w:r>
        <w:rPr>
          <w:rFonts w:ascii="仿宋_GB2312" w:hAnsi="仿宋_GB2312" w:eastAsia="仿宋_GB2312"/>
          <w:b w:val="0"/>
          <w:sz w:val="24"/>
          <w:szCs w:val="24"/>
        </w:rPr>
        <w:t>。</w:t>
      </w:r>
      <w:r>
        <w:rPr>
          <w:rFonts w:hint="eastAsia"/>
          <w:b w:val="0"/>
          <w:sz w:val="24"/>
          <w:szCs w:val="24"/>
          <w:lang w:eastAsia="zh-CN"/>
        </w:rPr>
        <w:t>供应商</w:t>
      </w:r>
      <w:r>
        <w:rPr>
          <w:rFonts w:ascii="仿宋_GB2312" w:hAnsi="仿宋_GB2312" w:eastAsia="仿宋_GB2312"/>
          <w:b w:val="0"/>
          <w:sz w:val="24"/>
          <w:szCs w:val="24"/>
        </w:rPr>
        <w:t>应结合</w:t>
      </w:r>
      <w:r>
        <w:rPr>
          <w:rFonts w:hint="eastAsia"/>
          <w:b w:val="0"/>
          <w:sz w:val="24"/>
          <w:szCs w:val="24"/>
          <w:lang w:val="en-US" w:eastAsia="zh-CN"/>
        </w:rPr>
        <w:t>学校业务</w:t>
      </w:r>
      <w:r>
        <w:rPr>
          <w:rFonts w:ascii="仿宋_GB2312" w:hAnsi="仿宋_GB2312" w:eastAsia="仿宋_GB2312"/>
          <w:b w:val="0"/>
          <w:sz w:val="24"/>
          <w:szCs w:val="24"/>
        </w:rPr>
        <w:t>系统实际建设、部署、运行及密码应用情况，对系统密码应用的合规性、正确性和有效性进行检测分析和评估验证，</w:t>
      </w:r>
      <w:r>
        <w:rPr>
          <w:rFonts w:hint="eastAsia" w:ascii="仿宋_GB2312" w:hAnsi="仿宋_GB2312" w:eastAsia="仿宋_GB2312"/>
          <w:b w:val="0"/>
          <w:sz w:val="24"/>
          <w:szCs w:val="24"/>
        </w:rPr>
        <w:t>最终出具商用密码应用安全性评估报告。</w:t>
      </w:r>
    </w:p>
    <w:p w14:paraId="0CCD6822">
      <w:pPr>
        <w:keepNext/>
        <w:numPr>
          <w:ilvl w:val="0"/>
          <w:numId w:val="1"/>
        </w:numPr>
        <w:spacing w:before="60" w:after="60" w:line="360" w:lineRule="auto"/>
        <w:jc w:val="both"/>
        <w:rPr>
          <w:rFonts w:hint="eastAsia" w:ascii="仿宋_GB2312" w:hAnsi="仿宋_GB2312" w:eastAsia="仿宋_GB2312"/>
          <w:b/>
          <w:sz w:val="30"/>
          <w:szCs w:val="30"/>
          <w:lang w:val="en-US" w:eastAsia="zh-CN"/>
        </w:rPr>
      </w:pPr>
      <w:r>
        <w:rPr>
          <w:rFonts w:hint="eastAsia" w:ascii="仿宋_GB2312" w:hAnsi="仿宋_GB2312" w:eastAsia="仿宋_GB2312"/>
          <w:b/>
          <w:sz w:val="30"/>
          <w:szCs w:val="30"/>
          <w:lang w:val="en-US" w:eastAsia="zh-CN"/>
        </w:rPr>
        <w:t>技术和服务要求</w:t>
      </w:r>
    </w:p>
    <w:p w14:paraId="31F43405">
      <w:pPr>
        <w:keepNext w:val="0"/>
        <w:spacing w:before="0" w:after="0" w:line="360" w:lineRule="auto"/>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（一）服务范围</w:t>
      </w:r>
    </w:p>
    <w:p w14:paraId="29EA645A">
      <w:pPr>
        <w:keepNext w:val="0"/>
        <w:spacing w:before="0" w:after="0" w:line="360" w:lineRule="auto"/>
        <w:ind w:firstLine="420"/>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服务期内须为福建中医药大学网站群系统、科研</w:t>
      </w:r>
      <w:r>
        <w:rPr>
          <w:rFonts w:hint="eastAsia"/>
          <w:b w:val="0"/>
          <w:sz w:val="24"/>
          <w:szCs w:val="24"/>
          <w:lang w:val="en-US" w:eastAsia="zh-CN"/>
        </w:rPr>
        <w:t>管理系统</w:t>
      </w:r>
      <w:r>
        <w:rPr>
          <w:rFonts w:hint="eastAsia" w:ascii="仿宋_GB2312" w:hAnsi="仿宋_GB2312" w:eastAsia="仿宋_GB2312"/>
          <w:b w:val="0"/>
          <w:sz w:val="24"/>
          <w:szCs w:val="24"/>
          <w:lang w:val="en-US" w:eastAsia="zh-CN"/>
        </w:rPr>
        <w:t>、研究生管理系统</w:t>
      </w:r>
      <w:r>
        <w:rPr>
          <w:rFonts w:hint="eastAsia"/>
          <w:b w:val="0"/>
          <w:sz w:val="24"/>
          <w:szCs w:val="24"/>
          <w:lang w:val="en-US" w:eastAsia="zh-CN"/>
        </w:rPr>
        <w:t>等</w:t>
      </w:r>
      <w:r>
        <w:rPr>
          <w:rFonts w:hint="eastAsia" w:ascii="仿宋_GB2312" w:hAnsi="仿宋_GB2312" w:eastAsia="仿宋_GB2312"/>
          <w:b w:val="0"/>
          <w:sz w:val="24"/>
          <w:szCs w:val="24"/>
          <w:lang w:val="en-US" w:eastAsia="zh-CN"/>
        </w:rPr>
        <w:t>三个等保三级系统提供商用密码应用安全性评估及咨询服务。</w:t>
      </w:r>
    </w:p>
    <w:p w14:paraId="01619264">
      <w:pPr>
        <w:keepNext w:val="0"/>
        <w:numPr>
          <w:ilvl w:val="0"/>
          <w:numId w:val="2"/>
        </w:numPr>
        <w:spacing w:before="0" w:after="0" w:line="360" w:lineRule="auto"/>
        <w:jc w:val="both"/>
        <w:rPr>
          <w:rFonts w:hint="eastAsia"/>
          <w:b w:val="0"/>
          <w:sz w:val="24"/>
          <w:szCs w:val="24"/>
          <w:lang w:val="en-US" w:eastAsia="zh-CN"/>
        </w:rPr>
      </w:pPr>
      <w:r>
        <w:rPr>
          <w:rFonts w:hint="eastAsia"/>
          <w:b w:val="0"/>
          <w:sz w:val="24"/>
          <w:szCs w:val="24"/>
          <w:lang w:val="en-US" w:eastAsia="zh-CN"/>
        </w:rPr>
        <w:t>评估依据及原则</w:t>
      </w:r>
    </w:p>
    <w:p w14:paraId="3BE22686">
      <w:pPr>
        <w:keepNext w:val="0"/>
        <w:numPr>
          <w:ilvl w:val="0"/>
          <w:numId w:val="3"/>
        </w:numPr>
        <w:spacing w:before="0" w:after="0" w:line="360" w:lineRule="auto"/>
        <w:ind w:firstLine="480" w:firstLineChars="200"/>
        <w:jc w:val="both"/>
        <w:rPr>
          <w:rFonts w:hint="eastAsia"/>
          <w:b w:val="0"/>
          <w:sz w:val="24"/>
          <w:szCs w:val="24"/>
          <w:lang w:val="en-US" w:eastAsia="zh-CN"/>
        </w:rPr>
      </w:pPr>
      <w:r>
        <w:rPr>
          <w:rFonts w:hint="eastAsia"/>
          <w:b w:val="0"/>
          <w:sz w:val="24"/>
          <w:szCs w:val="24"/>
          <w:lang w:val="en-US" w:eastAsia="zh-CN"/>
        </w:rPr>
        <w:t>评估依据</w:t>
      </w:r>
    </w:p>
    <w:p w14:paraId="63B15A1E">
      <w:pPr>
        <w:keepNext w:val="0"/>
        <w:spacing w:before="0" w:after="0" w:line="360" w:lineRule="auto"/>
        <w:ind w:firstLine="420"/>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《中华人民共和国密码法》；</w:t>
      </w:r>
    </w:p>
    <w:p w14:paraId="45B6B92B">
      <w:pPr>
        <w:keepNext w:val="0"/>
        <w:spacing w:before="0" w:after="0" w:line="360" w:lineRule="auto"/>
        <w:ind w:firstLine="420"/>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《中华人民共和国网络安全法》；</w:t>
      </w:r>
    </w:p>
    <w:p w14:paraId="3664D36E">
      <w:pPr>
        <w:keepNext w:val="0"/>
        <w:spacing w:before="0" w:after="0" w:line="360" w:lineRule="auto"/>
        <w:ind w:firstLine="420"/>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《信息安全技术信息系统密码应用基本要求》（GB/T39786-2021）；</w:t>
      </w:r>
    </w:p>
    <w:p w14:paraId="106092DB">
      <w:pPr>
        <w:keepNext w:val="0"/>
        <w:spacing w:before="0" w:after="0" w:line="360" w:lineRule="auto"/>
        <w:ind w:firstLine="420"/>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《信息系统密码应用测评要求》（GM/T 0115-2021）；</w:t>
      </w:r>
    </w:p>
    <w:p w14:paraId="4B78D3CE">
      <w:pPr>
        <w:keepNext w:val="0"/>
        <w:spacing w:before="0" w:after="0" w:line="360" w:lineRule="auto"/>
        <w:ind w:firstLine="420"/>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《信息系统密码应用测评过程指南》（GM/T 0116-2021）；</w:t>
      </w:r>
    </w:p>
    <w:p w14:paraId="797BB79F">
      <w:pPr>
        <w:keepNext w:val="0"/>
        <w:spacing w:before="0" w:after="0" w:line="360" w:lineRule="auto"/>
        <w:ind w:firstLine="420"/>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《信息系统密码应用高风险判定指引》；</w:t>
      </w:r>
    </w:p>
    <w:p w14:paraId="6BB3DE01">
      <w:pPr>
        <w:keepNext w:val="0"/>
        <w:spacing w:before="0" w:after="0" w:line="360" w:lineRule="auto"/>
        <w:ind w:firstLine="420"/>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《商用密码应用安全性评估量化评估规则》。</w:t>
      </w:r>
    </w:p>
    <w:p w14:paraId="3BE5E03F">
      <w:pPr>
        <w:keepNext w:val="0"/>
        <w:numPr>
          <w:ilvl w:val="0"/>
          <w:numId w:val="3"/>
        </w:numPr>
        <w:spacing w:before="0" w:after="0" w:line="360" w:lineRule="auto"/>
        <w:ind w:firstLine="480" w:firstLineChars="200"/>
        <w:jc w:val="both"/>
        <w:rPr>
          <w:rFonts w:hint="eastAsia"/>
          <w:b w:val="0"/>
          <w:sz w:val="24"/>
          <w:szCs w:val="24"/>
          <w:lang w:val="en-US" w:eastAsia="zh-CN"/>
        </w:rPr>
      </w:pPr>
      <w:r>
        <w:rPr>
          <w:rFonts w:hint="eastAsia"/>
          <w:b w:val="0"/>
          <w:sz w:val="24"/>
          <w:szCs w:val="24"/>
          <w:lang w:val="en-US" w:eastAsia="zh-CN"/>
        </w:rPr>
        <w:t>评估原则</w:t>
      </w:r>
    </w:p>
    <w:p w14:paraId="3EA3190A">
      <w:pPr>
        <w:pStyle w:val="4"/>
        <w:rPr>
          <w:rFonts w:hint="eastAsia"/>
          <w:sz w:val="24"/>
          <w:szCs w:val="24"/>
          <w:lang w:val="en-US" w:eastAsia="zh-CN"/>
        </w:rPr>
      </w:pPr>
      <w:r>
        <w:rPr>
          <w:rFonts w:hint="eastAsia"/>
          <w:sz w:val="24"/>
          <w:szCs w:val="24"/>
          <w:lang w:val="en-US" w:eastAsia="zh-CN"/>
        </w:rPr>
        <w:t>2.1 保密原则：对咨询和评估服务工程中获取的系统资料、过程数据、结果数据及相关信息严格保密，签订合同的同时签署具有法律意义的保密协议，未经采购人书面授权不得向任何第三方泄露、复制、传播或用于本项目以外的其他用途。</w:t>
      </w:r>
    </w:p>
    <w:p w14:paraId="3A8B2CA3">
      <w:pPr>
        <w:pStyle w:val="4"/>
        <w:rPr>
          <w:rFonts w:hint="eastAsia"/>
          <w:sz w:val="24"/>
          <w:szCs w:val="24"/>
          <w:lang w:val="en-US" w:eastAsia="zh-CN"/>
        </w:rPr>
      </w:pPr>
    </w:p>
    <w:p w14:paraId="4C0CAEE9">
      <w:pPr>
        <w:pStyle w:val="4"/>
        <w:rPr>
          <w:rFonts w:hint="eastAsia"/>
          <w:sz w:val="24"/>
          <w:szCs w:val="24"/>
          <w:lang w:val="en-US" w:eastAsia="zh-CN"/>
        </w:rPr>
      </w:pPr>
      <w:r>
        <w:rPr>
          <w:rFonts w:hint="eastAsia"/>
          <w:sz w:val="24"/>
          <w:szCs w:val="24"/>
          <w:lang w:val="en-US" w:eastAsia="zh-CN"/>
        </w:rPr>
        <w:t>2.2.标准性原则：测评方案设计、实施、分析和报告编制应依据国家现行商用密码相关法律法规、政策文件和技术标准规范开展。</w:t>
      </w:r>
    </w:p>
    <w:p w14:paraId="5D4725E7">
      <w:pPr>
        <w:pStyle w:val="4"/>
        <w:rPr>
          <w:rFonts w:hint="eastAsia"/>
          <w:sz w:val="24"/>
          <w:szCs w:val="24"/>
          <w:lang w:val="en-US" w:eastAsia="zh-CN"/>
        </w:rPr>
      </w:pPr>
      <w:r>
        <w:rPr>
          <w:rFonts w:hint="eastAsia"/>
          <w:sz w:val="24"/>
          <w:szCs w:val="24"/>
          <w:lang w:val="en-US" w:eastAsia="zh-CN"/>
        </w:rPr>
        <w:t>2.3 规范性原则：测评过程、记录、工作底稿和成果文档应完整、规范、可追溯，便于采购人对项目实施过程进行跟踪和控制。</w:t>
      </w:r>
    </w:p>
    <w:p w14:paraId="1196097D">
      <w:pPr>
        <w:pStyle w:val="4"/>
        <w:rPr>
          <w:rFonts w:hint="eastAsia"/>
          <w:sz w:val="24"/>
          <w:szCs w:val="24"/>
          <w:lang w:val="en-US" w:eastAsia="zh-CN"/>
        </w:rPr>
      </w:pPr>
      <w:r>
        <w:rPr>
          <w:rFonts w:hint="eastAsia"/>
          <w:sz w:val="24"/>
          <w:szCs w:val="24"/>
          <w:lang w:val="en-US" w:eastAsia="zh-CN"/>
        </w:rPr>
        <w:t>2.4 可控性原则：供应商应加强人员、质量、时间和进度管理，按照项目计划有序开展各阶段工作，确保采购人对项目实施进度和质量可控。</w:t>
      </w:r>
    </w:p>
    <w:p w14:paraId="7CA45532">
      <w:pPr>
        <w:pStyle w:val="4"/>
        <w:rPr>
          <w:rFonts w:hint="eastAsia"/>
          <w:sz w:val="24"/>
          <w:szCs w:val="24"/>
          <w:lang w:val="en-US" w:eastAsia="zh-CN"/>
        </w:rPr>
      </w:pPr>
      <w:r>
        <w:rPr>
          <w:rFonts w:hint="eastAsia"/>
          <w:sz w:val="24"/>
          <w:szCs w:val="24"/>
          <w:lang w:val="en-US" w:eastAsia="zh-CN"/>
        </w:rPr>
        <w:t>2.5 整体性原则：测评范围和内容应覆盖被测信息系统密码应用相关技术和管理要求，综合考虑各测评对象、业务流程和密码应用场景。</w:t>
      </w:r>
    </w:p>
    <w:p w14:paraId="388C049A">
      <w:pPr>
        <w:pStyle w:val="4"/>
        <w:rPr>
          <w:rFonts w:hint="eastAsia"/>
          <w:sz w:val="24"/>
          <w:szCs w:val="24"/>
          <w:lang w:val="en-US" w:eastAsia="zh-CN"/>
        </w:rPr>
      </w:pPr>
      <w:r>
        <w:rPr>
          <w:rFonts w:hint="eastAsia"/>
          <w:sz w:val="24"/>
          <w:szCs w:val="24"/>
          <w:lang w:val="en-US" w:eastAsia="zh-CN"/>
        </w:rPr>
        <w:t>2.6 最小影响原则：在项目实施过程中，须充分考虑到相关活动对系统正常运行的不利影响，采取必要的措施将相关风险降到最低。</w:t>
      </w:r>
    </w:p>
    <w:p w14:paraId="22AB10B0">
      <w:pPr>
        <w:keepNext w:val="0"/>
        <w:spacing w:before="0" w:after="0" w:line="360" w:lineRule="auto"/>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w:t>
      </w:r>
      <w:r>
        <w:rPr>
          <w:rFonts w:hint="eastAsia"/>
          <w:b w:val="0"/>
          <w:sz w:val="24"/>
          <w:szCs w:val="24"/>
          <w:lang w:val="en-US" w:eastAsia="zh-CN"/>
        </w:rPr>
        <w:t>三</w:t>
      </w:r>
      <w:r>
        <w:rPr>
          <w:rFonts w:hint="eastAsia" w:ascii="仿宋_GB2312" w:hAnsi="仿宋_GB2312" w:eastAsia="仿宋_GB2312"/>
          <w:b w:val="0"/>
          <w:sz w:val="24"/>
          <w:szCs w:val="24"/>
          <w:lang w:val="en-US" w:eastAsia="zh-CN"/>
        </w:rPr>
        <w:t>）服务</w:t>
      </w:r>
      <w:r>
        <w:rPr>
          <w:rFonts w:hint="eastAsia"/>
          <w:b w:val="0"/>
          <w:sz w:val="24"/>
          <w:szCs w:val="24"/>
          <w:lang w:val="en-US" w:eastAsia="zh-CN"/>
        </w:rPr>
        <w:t>内容</w:t>
      </w:r>
    </w:p>
    <w:p w14:paraId="507FA9E2">
      <w:pPr>
        <w:keepNext w:val="0"/>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1.咨询服务</w:t>
      </w:r>
    </w:p>
    <w:p w14:paraId="2D336C22">
      <w:pPr>
        <w:keepNext w:val="0"/>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 xml:space="preserve">  1.1调研业务系统情况，包括业务类型、数据类型、重要程度等。了解各业务系统之间边界划分情况，确定评估对象范围，对各业务系统边界进行详细划分。</w:t>
      </w:r>
    </w:p>
    <w:p w14:paraId="1046A483">
      <w:pPr>
        <w:keepNext w:val="0"/>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 xml:space="preserve">  1.2协助指导采购人编写商用密码应用方案，并对方案进行商用密码应用安全性评估，最终取得《商用密码应用安全性评估报告》。</w:t>
      </w:r>
    </w:p>
    <w:p w14:paraId="5D6295C0">
      <w:pPr>
        <w:keepNext w:val="0"/>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 xml:space="preserve">  1.3依据《中华人民共和国密码法》《中华人民共和国网络安全法》《信息安全技术信息系统密码应用基本要求》（GB/T39786-2021）《信息系统密码应用测评要求》（GM/T 0115-2021）《信息系统密码应用测评过程指南》（GM/T 0116-2021）《信息系统密码应用高风险判定指引》《商用密码应用安全性评估量化评估规则》，对学校业务系统进行差距分析，并指导采购人开展整改工作。</w:t>
      </w:r>
    </w:p>
    <w:p w14:paraId="757D54EE">
      <w:pPr>
        <w:keepNext w:val="0"/>
        <w:spacing w:before="0" w:after="0" w:line="360" w:lineRule="auto"/>
        <w:ind w:firstLine="720" w:firstLineChars="300"/>
        <w:jc w:val="both"/>
        <w:rPr>
          <w:rFonts w:hint="eastAsia"/>
          <w:b w:val="0"/>
          <w:sz w:val="24"/>
          <w:szCs w:val="24"/>
          <w:lang w:val="en-US" w:eastAsia="zh-CN"/>
        </w:rPr>
      </w:pPr>
      <w:r>
        <w:rPr>
          <w:rFonts w:hint="eastAsia"/>
          <w:b w:val="0"/>
          <w:sz w:val="24"/>
          <w:szCs w:val="24"/>
          <w:lang w:val="en-US" w:eastAsia="zh-CN"/>
        </w:rPr>
        <w:t>1.4依据《信息安全技术信息系统密码应用基本要求》（GB/T39786-2021）中关于管理制度、人员管理、建设运行、应急处置方面的要求，指导采购人完成商用密码安全管理制度的建设。</w:t>
      </w:r>
    </w:p>
    <w:p w14:paraId="23020C6A">
      <w:pPr>
        <w:keepNext w:val="0"/>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2.</w:t>
      </w:r>
      <w:r>
        <w:rPr>
          <w:rFonts w:hint="eastAsia" w:ascii="宋体" w:hAnsi="宋体" w:cs="宋体"/>
          <w:b w:val="0"/>
          <w:bCs w:val="0"/>
          <w:color w:val="auto"/>
          <w:kern w:val="2"/>
          <w:sz w:val="24"/>
          <w:szCs w:val="24"/>
          <w:highlight w:val="none"/>
          <w:lang w:val="en-US" w:eastAsia="zh-CN" w:bidi="ar-SA"/>
        </w:rPr>
        <w:t>密码应用方案编制咨询及评估服</w:t>
      </w:r>
      <w:r>
        <w:rPr>
          <w:rFonts w:hint="eastAsia"/>
          <w:b w:val="0"/>
          <w:sz w:val="24"/>
          <w:szCs w:val="24"/>
          <w:lang w:val="en-US" w:eastAsia="zh-CN"/>
        </w:rPr>
        <w:t>务</w:t>
      </w:r>
    </w:p>
    <w:p w14:paraId="0912A94C">
      <w:pPr>
        <w:pStyle w:val="4"/>
        <w:ind w:left="0" w:leftChars="0" w:firstLine="720" w:firstLineChars="300"/>
        <w:rPr>
          <w:rFonts w:hint="eastAsia" w:ascii="仿宋_GB2312" w:hAnsi="仿宋_GB2312" w:eastAsia="仿宋_GB2312" w:cstheme="minorBidi"/>
          <w:b w:val="0"/>
          <w:kern w:val="0"/>
          <w:sz w:val="24"/>
          <w:szCs w:val="24"/>
          <w:lang w:val="en-US" w:eastAsia="zh-CN" w:bidi="ar-SA"/>
        </w:rPr>
      </w:pPr>
      <w:r>
        <w:rPr>
          <w:rFonts w:hint="eastAsia" w:cstheme="minorBidi"/>
          <w:b w:val="0"/>
          <w:kern w:val="0"/>
          <w:sz w:val="24"/>
          <w:szCs w:val="24"/>
          <w:lang w:val="en-US" w:eastAsia="zh-CN" w:bidi="ar-SA"/>
        </w:rPr>
        <w:t>2.1</w:t>
      </w:r>
      <w:r>
        <w:rPr>
          <w:rFonts w:hint="eastAsia" w:ascii="仿宋_GB2312" w:hAnsi="仿宋_GB2312" w:eastAsia="仿宋_GB2312" w:cstheme="minorBidi"/>
          <w:b w:val="0"/>
          <w:kern w:val="0"/>
          <w:sz w:val="24"/>
          <w:szCs w:val="24"/>
          <w:lang w:val="en-US" w:eastAsia="zh-CN" w:bidi="ar-SA"/>
        </w:rPr>
        <w:t>供应商应依据《商用密码应用安全性评估管理办法》及相关标准规范，结合密码应用需求和</w:t>
      </w:r>
      <w:r>
        <w:rPr>
          <w:rFonts w:hint="eastAsia" w:cstheme="minorBidi"/>
          <w:b w:val="0"/>
          <w:kern w:val="0"/>
          <w:sz w:val="24"/>
          <w:szCs w:val="24"/>
          <w:lang w:val="en-US" w:eastAsia="zh-CN" w:bidi="ar-SA"/>
        </w:rPr>
        <w:t>三</w:t>
      </w:r>
      <w:r>
        <w:rPr>
          <w:rFonts w:hint="eastAsia" w:ascii="仿宋_GB2312" w:hAnsi="仿宋_GB2312" w:eastAsia="仿宋_GB2312" w:cstheme="minorBidi"/>
          <w:b w:val="0"/>
          <w:kern w:val="0"/>
          <w:sz w:val="24"/>
          <w:szCs w:val="24"/>
          <w:lang w:val="en-US" w:eastAsia="zh-CN" w:bidi="ar-SA"/>
        </w:rPr>
        <w:t>个被测信息系统实际情况，</w:t>
      </w:r>
      <w:r>
        <w:rPr>
          <w:rFonts w:hint="eastAsia" w:cstheme="minorBidi"/>
          <w:b w:val="0"/>
          <w:kern w:val="0"/>
          <w:sz w:val="24"/>
          <w:szCs w:val="24"/>
          <w:lang w:val="en-US" w:eastAsia="zh-CN" w:bidi="ar-SA"/>
        </w:rPr>
        <w:t>指导、</w:t>
      </w:r>
      <w:r>
        <w:rPr>
          <w:rFonts w:hint="eastAsia" w:ascii="仿宋_GB2312" w:hAnsi="仿宋_GB2312" w:eastAsia="仿宋_GB2312" w:cstheme="minorBidi"/>
          <w:b w:val="0"/>
          <w:kern w:val="0"/>
          <w:sz w:val="24"/>
          <w:szCs w:val="24"/>
          <w:lang w:val="en-US" w:eastAsia="zh-CN" w:bidi="ar-SA"/>
        </w:rPr>
        <w:t>协助采购人编制商用密码应用方案。</w:t>
      </w:r>
    </w:p>
    <w:p w14:paraId="1BA93D78">
      <w:pPr>
        <w:pStyle w:val="4"/>
        <w:ind w:left="0" w:leftChars="0" w:firstLine="720" w:firstLineChars="300"/>
        <w:rPr>
          <w:rFonts w:hint="eastAsia" w:ascii="仿宋_GB2312" w:hAnsi="仿宋_GB2312" w:eastAsia="仿宋_GB2312" w:cstheme="minorBidi"/>
          <w:b w:val="0"/>
          <w:kern w:val="0"/>
          <w:sz w:val="24"/>
          <w:szCs w:val="24"/>
          <w:lang w:val="en-US" w:eastAsia="zh-CN" w:bidi="ar-SA"/>
        </w:rPr>
      </w:pPr>
      <w:r>
        <w:rPr>
          <w:rFonts w:hint="eastAsia" w:cstheme="minorBidi"/>
          <w:b w:val="0"/>
          <w:kern w:val="0"/>
          <w:sz w:val="24"/>
          <w:szCs w:val="24"/>
          <w:lang w:val="en-US" w:eastAsia="zh-CN" w:bidi="ar-SA"/>
        </w:rPr>
        <w:t>2.2依据《政务信息系统密码应用与安全性评估工作指南》、GB/T 39786-2021《信息安全技术 信息系统密码应用基本要求》，对密码应用方案开展评估服务，验证方案中选用的密码算法（如SM2、SM4、SM3等）、密码产品（加密机、密钥管理系统等）是否符合国家密码标准，是否规划使用具备商用密码产品认证证书的产品。检查方案中密码应用场景的覆盖范围，是否包含身份鉴别、数据传输加密、数据存储加密、完整性校验、不可否认性等核心场景，无遗漏关键业务环节。审查密码应用与系统架构的适配性，方案设计是否考虑系统扩展性、兼容性，密码技术部署是否会影响系统正常运行效率。汇总测评结果，明确方案是否符合商用密码应用安全要求，出具测评结论。针对方案中存在的合规短板、安全隐患，提出具体的优化整改建议</w:t>
      </w:r>
      <w:r>
        <w:rPr>
          <w:rFonts w:hint="eastAsia" w:ascii="仿宋_GB2312" w:hAnsi="仿宋_GB2312" w:eastAsia="仿宋_GB2312" w:cstheme="minorBidi"/>
          <w:b w:val="0"/>
          <w:kern w:val="0"/>
          <w:sz w:val="24"/>
          <w:szCs w:val="24"/>
          <w:lang w:val="en-US" w:eastAsia="zh-CN" w:bidi="ar-SA"/>
        </w:rPr>
        <w:t>。</w:t>
      </w:r>
    </w:p>
    <w:p w14:paraId="7C8CF09F">
      <w:pPr>
        <w:pStyle w:val="4"/>
        <w:ind w:left="0" w:leftChars="0" w:firstLine="720" w:firstLineChars="300"/>
        <w:rPr>
          <w:rFonts w:hint="default" w:cstheme="minorBidi"/>
          <w:b w:val="0"/>
          <w:kern w:val="0"/>
          <w:sz w:val="24"/>
          <w:szCs w:val="24"/>
          <w:lang w:val="en-US" w:eastAsia="zh-CN" w:bidi="ar-SA"/>
        </w:rPr>
      </w:pPr>
      <w:r>
        <w:rPr>
          <w:rFonts w:hint="eastAsia" w:cstheme="minorBidi"/>
          <w:b w:val="0"/>
          <w:kern w:val="0"/>
          <w:sz w:val="24"/>
          <w:szCs w:val="24"/>
          <w:lang w:val="en-US" w:eastAsia="zh-CN" w:bidi="ar-SA"/>
        </w:rPr>
        <w:t>2.3 密码应用方案评估报告： 供应商应针对三个被测信息系统分别开展商用密码应用方案评估，对密码应用方案的完整性、合理性、合规性及密码安全设计的有效性进行分析与评价，并依据国家现行商用密码应用相关标准规范及报告模板要求，分别编制并出具《商用密码应用方案评估报告》。报告内容应真实、完整、规范，评估结论应客观、准确，并针对发现的问题提出相应的优化建议。</w:t>
      </w:r>
    </w:p>
    <w:p w14:paraId="45B2F7AD">
      <w:pPr>
        <w:keepNext w:val="0"/>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3.信息系统</w:t>
      </w:r>
      <w:r>
        <w:rPr>
          <w:rFonts w:hint="eastAsia" w:ascii="宋体" w:hAnsi="宋体" w:cs="宋体"/>
          <w:b w:val="0"/>
          <w:bCs w:val="0"/>
          <w:color w:val="auto"/>
          <w:kern w:val="2"/>
          <w:sz w:val="24"/>
          <w:szCs w:val="24"/>
          <w:highlight w:val="none"/>
          <w:lang w:val="en-US" w:eastAsia="zh-CN" w:bidi="ar-SA"/>
        </w:rPr>
        <w:t>密码应用评估服</w:t>
      </w:r>
      <w:r>
        <w:rPr>
          <w:rFonts w:hint="eastAsia"/>
          <w:b w:val="0"/>
          <w:sz w:val="24"/>
          <w:szCs w:val="24"/>
          <w:lang w:val="en-US" w:eastAsia="zh-CN"/>
        </w:rPr>
        <w:t>务</w:t>
      </w:r>
    </w:p>
    <w:p w14:paraId="3C222C05">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 采用系统评估方式，及时发现被测系统脆弱性，识别风险，了解被测系统安全状况。对照密码应用方案对被测系统开展评估。根据被评估对象的实际情况、被测系统使用的密码产品情况，选择并确定测评依据。在被测系统真实环境下进行测评，以评估密码应用及保障是否安全有效，密码使用和管理是否合规、正确、有效。</w:t>
      </w:r>
    </w:p>
    <w:p w14:paraId="69BAE429">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3.2 供应商应编制项目实施计划，明确项目组织、人员分工、工作流程、实施步骤、进度安排、沟通机制、质量控制和风险控制措施。</w:t>
      </w:r>
    </w:p>
    <w:p w14:paraId="29C13E38">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3.3 供应商应收集三个被测信息系统基础资料，分别完成调查表，分析调查结果，并做好测评工具、工作底稿、表单及现场测试所需环境准备。</w:t>
      </w:r>
    </w:p>
    <w:p w14:paraId="1514A39E">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3.4 供应商应参照相关密码应用标准和规范，对三个被测信息系统的密码应用安全指标分别开展差距分析。根据差距分析结果、现有密码设施和技术手段，提出可执行的建议措施和应用改造措施，为后续整改提供依据。</w:t>
      </w:r>
    </w:p>
    <w:p w14:paraId="4A875465">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3.5 供应商应针对三个被测信息系统实际情况，分别确定测评范围、测评对象、测评指标、测评检查项、测评方法和测评内容，明确现场测评步骤及风险控制措施，并分别编制商用密码应用安全性评估方案。方案应能够覆盖各系统实际使用的密码产品、密码服务、密码算法、密码技术、密钥体系及密码应用管理情况。</w:t>
      </w:r>
    </w:p>
    <w:p w14:paraId="276B47FB">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3.6 现场测评风险控制： 供应商应充分评估测评活动可能对被测信息系统正常运行造成的影响，制定必要的风险防范措施和应急回退方案。涉及可能影响系统正常运行的测试操作，应事先取得采购人同意，并采取有效措施控制测试风险。未经采购人授权，不得擅自扩大测评范围、变更测评内容或开展可能影响系统安全稳定运行的操作。</w:t>
      </w:r>
    </w:p>
    <w:p w14:paraId="05F8E87A">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3.7 测评过程异常应急处置： 供应商应建立测评过程异常情况应急处置机制。在现场测评过程中，如发现或发生系统运行异常、业务中断、数据异常或其他可能影响被测信息系统安全稳定运行的情况，应立即停止相关测试操作，及时向采购人报告，并配合采购人及相关系统建设、运维单位开展故障排查、应急处置和系统恢复工作。未经采购人同意，不得擅自恢复可能引发风险的测评操作。供应商应对异常情况、处置过程及处理结果进行记录，并提出相应的风险防范和改进建议。</w:t>
      </w:r>
    </w:p>
    <w:p w14:paraId="57972C83">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3.8 物理和环境安全密码测评：须对物理访问控制、电子门禁、视频监控等内容进行测评。</w:t>
      </w:r>
    </w:p>
    <w:p w14:paraId="7EA35C37">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3.9 网络和通信安全密码测评：须对通信过程的数据真实性、完整性、机密性等内容进行测评。</w:t>
      </w:r>
    </w:p>
    <w:p w14:paraId="624D3BBB">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3.10 设备和计算安全密码测评：须对身份鉴别、访问控制、安全审计、可信验证、重要可执行程序来源真实性等内容进行测评。对被测密码进行加解密运算及算法验证时，应使用分组密码算法、公钥算法、流密码算法、哈希算法等主流密码算法进行加解密运算和算法验证，以确保测评结果的可靠性；至少使用两种或两种以上的加密消息语法标准进行签名和验签操作，以确保被测结果的准确性；</w:t>
      </w:r>
    </w:p>
    <w:p w14:paraId="238B152C">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3.11 应用和数据安全测评：对被测信息系统在应用和数据安全层面采取的密码保障措施进行评估，包括但不限于身份鉴别、访问控制信息和敏感标记完整性、重要数据传输机密性和完整性、重要数据存储机密性和完整性、日志记录完整性、重要应用程序加载和卸载安全以及抗抵赖等内容。</w:t>
      </w:r>
    </w:p>
    <w:p w14:paraId="4A42B41B">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3.12 密码应用管理测评：对被测信息系统开展密码应用管理测评，包括管理制度、人员管理、建设运行和应急处置等方面。管理制度方面应关注密码应用相关制度的制定、发布、评审和修订；人员管理方面应关注职责权限、人员录用、教育培训、考核、离岗等；建设运行方面应关注密码应用方案设计、实施及安全性评估；应急处置方面应关注密码应用相关应急管理和安全事件处置机制。</w:t>
      </w:r>
    </w:p>
    <w:p w14:paraId="36D680FD">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3.13 整改建议及整改指导：供应商应根据三个被测信息系统在差距分析、现场测评等过程中发现的问题，结合各系统实际情况，分别提出合理、切实可行的整改建议。</w:t>
      </w:r>
    </w:p>
    <w:p w14:paraId="000F1859">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3.14 高风险问题及时通报： 供应商在差距分析、现场测评及其他项目实施过程中，如发现被测信息系统存在严重密码应用安全隐患、高风险问题或可能影响系统安全稳定运行的重大安全风险，应及时向采购人通报，不得仅在最终测评报告中反映。通报内容应包括问题描述、风险等级、影响范围、可能造成的安全影响及相应的风险处置建议。供应商应根据采购人要求，配合开展相关风险分析、整改指导及后续跟踪工作，并做好问题通报和处理情况记录。</w:t>
      </w:r>
    </w:p>
    <w:p w14:paraId="563923DB">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3.15 供应商应全程协助采购人及相关系统建设、运维单位开展整改工作，对整改措施、密码产品和密码服务选型、配置调整、管理制度完善等提供技术指导。</w:t>
      </w:r>
    </w:p>
    <w:p w14:paraId="7F245580">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3.16 现场测评工作完成后，供应商应分别对3个被测信息系统的测评结果进行汇总分析，结合单项测评、整体测评、高风险判定及量化评估结果形成评估结论，并分别编制商用密码应用安全性评估报告。评估报告内容和格式应符合国家密码管理相关要求或相关报告模板要求，结论应客观、准确、证据充分、可追溯。</w:t>
      </w:r>
    </w:p>
    <w:p w14:paraId="5A6B43E0">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3.17 供应商应充分了解相关密码管理部门的监管和备案要求，协助采购人准备、整理和提交备案材料，并配合采购人完成相关备案工作。</w:t>
      </w:r>
    </w:p>
    <w:p w14:paraId="487BF03E">
      <w:pPr>
        <w:pStyle w:val="4"/>
        <w:ind w:left="0" w:leftChars="0" w:firstLine="720" w:firstLineChars="300"/>
        <w:rPr>
          <w:rFonts w:hint="eastAsia" w:cstheme="minorBidi"/>
          <w:b w:val="0"/>
          <w:kern w:val="0"/>
          <w:sz w:val="24"/>
          <w:szCs w:val="24"/>
          <w:lang w:val="en-US" w:eastAsia="zh-CN" w:bidi="ar-SA"/>
        </w:rPr>
      </w:pPr>
      <w:r>
        <w:rPr>
          <w:rFonts w:hint="eastAsia" w:cstheme="minorBidi"/>
          <w:b w:val="0"/>
          <w:kern w:val="0"/>
          <w:sz w:val="24"/>
          <w:szCs w:val="24"/>
          <w:lang w:val="en-US" w:eastAsia="zh-CN" w:bidi="ar-SA"/>
        </w:rPr>
        <w:t>3.18</w:t>
      </w:r>
      <w:bookmarkStart w:id="0" w:name="_GoBack"/>
      <w:bookmarkEnd w:id="0"/>
      <w:r>
        <w:rPr>
          <w:rFonts w:hint="eastAsia" w:cstheme="minorBidi"/>
          <w:b w:val="0"/>
          <w:kern w:val="0"/>
          <w:sz w:val="24"/>
          <w:szCs w:val="24"/>
          <w:lang w:val="en-US" w:eastAsia="zh-CN" w:bidi="ar-SA"/>
        </w:rPr>
        <w:t xml:space="preserve"> 培训服务：项目服务期内，供应商应根据采购人实际需求提供1—2次现场密码应用技术培训。培训内容包括密码基础知识、密码应用技术、密码运维技术、密码应用安全管理及商用密码应用安全性评估相关要求等。每次培训前应结合采购人及三个被测信息系统实际情况制定培训方案，明确培训内容、培训对象和培训安排，并提供培训材料、培训记录等相关资料。</w:t>
      </w:r>
    </w:p>
    <w:p w14:paraId="70547B59">
      <w:pPr>
        <w:keepNext w:val="0"/>
        <w:spacing w:before="0" w:after="0" w:line="360" w:lineRule="auto"/>
        <w:jc w:val="both"/>
        <w:rPr>
          <w:rFonts w:hint="eastAsia"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w:t>
      </w:r>
      <w:r>
        <w:rPr>
          <w:rFonts w:hint="eastAsia"/>
          <w:b w:val="0"/>
          <w:sz w:val="24"/>
          <w:szCs w:val="24"/>
          <w:lang w:val="en-US" w:eastAsia="zh-CN"/>
        </w:rPr>
        <w:t>四</w:t>
      </w:r>
      <w:r>
        <w:rPr>
          <w:rFonts w:hint="eastAsia" w:ascii="仿宋_GB2312" w:hAnsi="仿宋_GB2312" w:eastAsia="仿宋_GB2312"/>
          <w:b w:val="0"/>
          <w:sz w:val="24"/>
          <w:szCs w:val="24"/>
          <w:lang w:val="en-US" w:eastAsia="zh-CN"/>
        </w:rPr>
        <w:t>）服务</w:t>
      </w:r>
      <w:r>
        <w:rPr>
          <w:rFonts w:hint="eastAsia"/>
          <w:b w:val="0"/>
          <w:sz w:val="24"/>
          <w:szCs w:val="24"/>
          <w:lang w:val="en-US" w:eastAsia="zh-CN"/>
        </w:rPr>
        <w:t>交付物</w:t>
      </w:r>
    </w:p>
    <w:p w14:paraId="7B1D2855">
      <w:pPr>
        <w:pStyle w:val="4"/>
        <w:ind w:left="0" w:leftChars="0" w:firstLine="720" w:firstLineChars="300"/>
        <w:rPr>
          <w:rFonts w:hint="eastAsia" w:cstheme="minorBidi"/>
          <w:b w:val="0"/>
          <w:kern w:val="0"/>
          <w:sz w:val="24"/>
          <w:szCs w:val="24"/>
          <w:lang w:val="en-US" w:eastAsia="zh-CN" w:bidi="ar-SA"/>
        </w:rPr>
      </w:pPr>
      <w:r>
        <w:rPr>
          <w:rFonts w:hint="eastAsia" w:ascii="仿宋_GB2312" w:hAnsi="仿宋_GB2312" w:eastAsia="仿宋_GB2312" w:cs="仿宋_GB2312"/>
          <w:b w:val="0"/>
          <w:color w:val="auto"/>
          <w:sz w:val="24"/>
          <w:szCs w:val="24"/>
        </w:rPr>
        <w:t>商用密码应用安全整改建议</w:t>
      </w:r>
      <w:r>
        <w:rPr>
          <w:rFonts w:hint="eastAsia" w:cs="仿宋_GB2312"/>
          <w:b w:val="0"/>
          <w:color w:val="auto"/>
          <w:sz w:val="24"/>
          <w:szCs w:val="24"/>
          <w:lang w:eastAsia="zh-CN"/>
        </w:rPr>
        <w:t>、</w:t>
      </w:r>
      <w:r>
        <w:rPr>
          <w:rFonts w:ascii="仿宋_GB2312" w:hAnsi="仿宋_GB2312" w:eastAsia="仿宋_GB2312" w:cs="仿宋_GB2312"/>
          <w:b w:val="0"/>
          <w:sz w:val="24"/>
          <w:szCs w:val="24"/>
        </w:rPr>
        <w:t>商用密码应用方案</w:t>
      </w:r>
      <w:r>
        <w:rPr>
          <w:rFonts w:hint="eastAsia" w:cs="仿宋_GB2312"/>
          <w:b w:val="0"/>
          <w:sz w:val="24"/>
          <w:szCs w:val="24"/>
          <w:lang w:eastAsia="zh-CN"/>
        </w:rPr>
        <w:t>、</w:t>
      </w:r>
      <w:r>
        <w:rPr>
          <w:rFonts w:ascii="仿宋_GB2312" w:hAnsi="仿宋_GB2312" w:eastAsia="仿宋_GB2312" w:cs="仿宋_GB2312"/>
          <w:b w:val="0"/>
          <w:color w:val="auto"/>
          <w:sz w:val="24"/>
          <w:szCs w:val="24"/>
        </w:rPr>
        <w:t>商用密码应用</w:t>
      </w:r>
      <w:r>
        <w:rPr>
          <w:rFonts w:hint="eastAsia" w:cs="仿宋_GB2312"/>
          <w:b w:val="0"/>
          <w:color w:val="auto"/>
          <w:sz w:val="24"/>
          <w:szCs w:val="24"/>
          <w:lang w:val="en-US" w:eastAsia="zh-CN"/>
        </w:rPr>
        <w:t>测评方案</w:t>
      </w:r>
      <w:r>
        <w:rPr>
          <w:rFonts w:hint="default" w:cstheme="minorBidi"/>
          <w:b w:val="0"/>
          <w:kern w:val="0"/>
          <w:sz w:val="24"/>
          <w:szCs w:val="24"/>
          <w:lang w:val="en-US" w:eastAsia="zh-CN" w:bidi="ar-SA"/>
        </w:rPr>
        <w:t>和《商用密码应用安全性评估报告》</w:t>
      </w:r>
      <w:r>
        <w:rPr>
          <w:rFonts w:hint="eastAsia" w:cstheme="minorBidi"/>
          <w:b w:val="0"/>
          <w:kern w:val="0"/>
          <w:sz w:val="24"/>
          <w:szCs w:val="24"/>
          <w:lang w:val="en-US" w:eastAsia="zh-CN" w:bidi="ar-SA"/>
        </w:rPr>
        <w:t>。</w:t>
      </w:r>
    </w:p>
    <w:p w14:paraId="77008FC7">
      <w:pPr>
        <w:keepNext w:val="0"/>
        <w:spacing w:before="0" w:after="0" w:line="360" w:lineRule="auto"/>
        <w:jc w:val="both"/>
        <w:rPr>
          <w:rFonts w:hint="default" w:ascii="仿宋_GB2312" w:hAnsi="仿宋_GB2312" w:eastAsia="仿宋_GB2312"/>
          <w:b w:val="0"/>
          <w:sz w:val="24"/>
          <w:szCs w:val="24"/>
          <w:lang w:val="en-US" w:eastAsia="zh-CN"/>
        </w:rPr>
      </w:pPr>
      <w:r>
        <w:rPr>
          <w:rFonts w:hint="eastAsia" w:ascii="仿宋_GB2312" w:hAnsi="仿宋_GB2312" w:eastAsia="仿宋_GB2312"/>
          <w:b w:val="0"/>
          <w:sz w:val="24"/>
          <w:szCs w:val="24"/>
          <w:lang w:val="en-US" w:eastAsia="zh-CN"/>
        </w:rPr>
        <w:t>（</w:t>
      </w:r>
      <w:r>
        <w:rPr>
          <w:rFonts w:hint="eastAsia"/>
          <w:b w:val="0"/>
          <w:sz w:val="24"/>
          <w:szCs w:val="24"/>
          <w:lang w:val="en-US" w:eastAsia="zh-CN"/>
        </w:rPr>
        <w:t>五</w:t>
      </w:r>
      <w:r>
        <w:rPr>
          <w:rFonts w:hint="eastAsia" w:ascii="仿宋_GB2312" w:hAnsi="仿宋_GB2312" w:eastAsia="仿宋_GB2312"/>
          <w:b w:val="0"/>
          <w:sz w:val="24"/>
          <w:szCs w:val="24"/>
          <w:lang w:val="en-US" w:eastAsia="zh-CN"/>
        </w:rPr>
        <w:t>）服务</w:t>
      </w:r>
      <w:r>
        <w:rPr>
          <w:rFonts w:hint="eastAsia"/>
          <w:b w:val="0"/>
          <w:sz w:val="24"/>
          <w:szCs w:val="24"/>
          <w:lang w:val="en-US" w:eastAsia="zh-CN"/>
        </w:rPr>
        <w:t>能力要求</w:t>
      </w:r>
    </w:p>
    <w:p w14:paraId="62ED2841">
      <w:pPr>
        <w:keepNext w:val="0"/>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1.应安排至少3名具备商用密码应用安全性评估从业人员考核成绩合格证书的技术人员在项目现场提供至少3个月时长的现场服务；</w:t>
      </w:r>
    </w:p>
    <w:p w14:paraId="0B7540F7">
      <w:pPr>
        <w:keepNext w:val="0"/>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2.</w:t>
      </w:r>
      <w:r>
        <w:rPr>
          <w:rFonts w:hint="eastAsia" w:ascii="仿宋_GB2312" w:hAnsi="仿宋_GB2312" w:eastAsia="仿宋_GB2312" w:cs="仿宋_GB2312"/>
          <w:b w:val="0"/>
          <w:sz w:val="24"/>
          <w:szCs w:val="24"/>
        </w:rPr>
        <w:t>供应商应具备与本项目商用密码应用安全性评估工作相适应的测评过程管理和技术支撑能力，</w:t>
      </w:r>
      <w:r>
        <w:rPr>
          <w:rFonts w:hint="eastAsia" w:cs="仿宋_GB2312"/>
          <w:b w:val="0"/>
          <w:sz w:val="24"/>
          <w:szCs w:val="24"/>
          <w:lang w:val="en-US" w:eastAsia="zh-CN"/>
        </w:rPr>
        <w:t>熟悉国产服务器（海光处理器）、数据库（达梦）、</w:t>
      </w:r>
      <w:r>
        <w:rPr>
          <w:rFonts w:hint="eastAsia" w:ascii="仿宋_GB2312" w:hAnsi="仿宋_GB2312" w:eastAsia="仿宋_GB2312" w:cs="仿宋_GB2312"/>
          <w:b w:val="0"/>
          <w:sz w:val="24"/>
          <w:szCs w:val="24"/>
        </w:rPr>
        <w:t>操作系统</w:t>
      </w:r>
      <w:r>
        <w:rPr>
          <w:rFonts w:hint="eastAsia" w:cs="仿宋_GB2312"/>
          <w:b w:val="0"/>
          <w:sz w:val="24"/>
          <w:szCs w:val="24"/>
          <w:lang w:eastAsia="zh-CN"/>
        </w:rPr>
        <w:t>（</w:t>
      </w:r>
      <w:r>
        <w:rPr>
          <w:rFonts w:hint="eastAsia" w:cs="仿宋_GB2312"/>
          <w:b w:val="0"/>
          <w:sz w:val="24"/>
          <w:szCs w:val="24"/>
          <w:lang w:val="en-US" w:eastAsia="zh-CN"/>
        </w:rPr>
        <w:t>统信、欧拉、龙蜥</w:t>
      </w:r>
      <w:r>
        <w:rPr>
          <w:rFonts w:hint="eastAsia" w:cs="仿宋_GB2312"/>
          <w:b w:val="0"/>
          <w:sz w:val="24"/>
          <w:szCs w:val="24"/>
          <w:lang w:eastAsia="zh-CN"/>
        </w:rPr>
        <w:t>）</w:t>
      </w:r>
      <w:r>
        <w:rPr>
          <w:rFonts w:hint="eastAsia"/>
          <w:b w:val="0"/>
          <w:sz w:val="24"/>
          <w:szCs w:val="24"/>
          <w:lang w:val="en-US" w:eastAsia="zh-CN"/>
        </w:rPr>
        <w:t>；</w:t>
      </w:r>
    </w:p>
    <w:p w14:paraId="3AAF7166">
      <w:pPr>
        <w:pStyle w:val="4"/>
        <w:ind w:left="0" w:leftChars="0" w:firstLine="720" w:firstLineChars="300"/>
        <w:rPr>
          <w:rFonts w:hint="default" w:cstheme="minorBidi"/>
          <w:b w:val="0"/>
          <w:kern w:val="0"/>
          <w:sz w:val="24"/>
          <w:szCs w:val="24"/>
          <w:lang w:val="en-US" w:eastAsia="zh-CN" w:bidi="ar-SA"/>
        </w:rPr>
      </w:pPr>
    </w:p>
    <w:p w14:paraId="014C3C2A">
      <w:pPr>
        <w:keepNext/>
        <w:numPr>
          <w:ilvl w:val="0"/>
          <w:numId w:val="1"/>
        </w:numPr>
        <w:spacing w:before="60" w:after="60" w:line="360" w:lineRule="auto"/>
        <w:jc w:val="both"/>
        <w:rPr>
          <w:rFonts w:hint="eastAsia" w:ascii="仿宋_GB2312" w:hAnsi="仿宋_GB2312" w:eastAsia="仿宋_GB2312"/>
          <w:b/>
          <w:sz w:val="30"/>
          <w:szCs w:val="30"/>
          <w:lang w:val="en-US" w:eastAsia="zh-CN"/>
        </w:rPr>
      </w:pPr>
      <w:r>
        <w:rPr>
          <w:rFonts w:hint="eastAsia"/>
          <w:b/>
          <w:sz w:val="30"/>
          <w:szCs w:val="30"/>
          <w:lang w:val="en-US" w:eastAsia="zh-CN"/>
        </w:rPr>
        <w:t>商务</w:t>
      </w:r>
      <w:r>
        <w:rPr>
          <w:rFonts w:hint="eastAsia" w:ascii="仿宋_GB2312" w:hAnsi="仿宋_GB2312" w:eastAsia="仿宋_GB2312"/>
          <w:b/>
          <w:sz w:val="30"/>
          <w:szCs w:val="30"/>
          <w:lang w:val="en-US" w:eastAsia="zh-CN"/>
        </w:rPr>
        <w:t>要求</w:t>
      </w:r>
    </w:p>
    <w:p w14:paraId="19A5976C">
      <w:pPr>
        <w:keepNext w:val="0"/>
        <w:numPr>
          <w:ilvl w:val="0"/>
          <w:numId w:val="4"/>
        </w:numPr>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投标人（报价人）必须是国家密码管理局公告（53号）发布的《商用密码检测机构（商用密码应用安全性评估业务）目录》中所列机构，在投标（报价）文件中提供商用密码检测机构资质证书的扫描件。</w:t>
      </w:r>
    </w:p>
    <w:p w14:paraId="6E652821">
      <w:pPr>
        <w:keepNext w:val="0"/>
        <w:numPr>
          <w:ilvl w:val="0"/>
          <w:numId w:val="4"/>
        </w:numPr>
        <w:spacing w:before="0" w:after="0" w:line="360" w:lineRule="auto"/>
        <w:ind w:firstLine="420"/>
        <w:jc w:val="both"/>
        <w:rPr>
          <w:rFonts w:hint="eastAsia"/>
          <w:b w:val="0"/>
          <w:sz w:val="24"/>
          <w:szCs w:val="24"/>
          <w:lang w:val="en-US" w:eastAsia="zh-CN"/>
        </w:rPr>
      </w:pPr>
      <w:r>
        <w:rPr>
          <w:rFonts w:hint="eastAsia" w:cs="仿宋_GB2312"/>
          <w:b w:val="0"/>
          <w:sz w:val="24"/>
          <w:szCs w:val="24"/>
          <w:lang w:val="en-US" w:eastAsia="zh-CN"/>
        </w:rPr>
        <w:t>合同签订后90天内完成</w:t>
      </w:r>
      <w:r>
        <w:rPr>
          <w:rFonts w:hint="eastAsia" w:ascii="宋体" w:hAnsi="宋体" w:cs="宋体"/>
          <w:b w:val="0"/>
          <w:bCs w:val="0"/>
          <w:color w:val="auto"/>
          <w:kern w:val="2"/>
          <w:sz w:val="24"/>
          <w:szCs w:val="24"/>
          <w:highlight w:val="none"/>
          <w:lang w:val="en-US" w:eastAsia="zh-CN" w:bidi="ar-SA"/>
        </w:rPr>
        <w:t>密码应用方案编制咨询服</w:t>
      </w:r>
      <w:r>
        <w:rPr>
          <w:rFonts w:hint="eastAsia"/>
          <w:b w:val="0"/>
          <w:sz w:val="24"/>
          <w:szCs w:val="24"/>
          <w:lang w:val="en-US" w:eastAsia="zh-CN"/>
        </w:rPr>
        <w:t>务，协助采购人完成方案备案；</w:t>
      </w:r>
    </w:p>
    <w:p w14:paraId="3343FC2C">
      <w:pPr>
        <w:keepNext w:val="0"/>
        <w:numPr>
          <w:ilvl w:val="0"/>
          <w:numId w:val="4"/>
        </w:numPr>
        <w:spacing w:before="0" w:after="0" w:line="360" w:lineRule="auto"/>
        <w:ind w:firstLine="420"/>
        <w:jc w:val="both"/>
        <w:rPr>
          <w:rFonts w:hint="eastAsia"/>
          <w:b w:val="0"/>
          <w:sz w:val="24"/>
          <w:szCs w:val="24"/>
          <w:lang w:val="en-US" w:eastAsia="zh-CN"/>
        </w:rPr>
      </w:pPr>
      <w:r>
        <w:rPr>
          <w:rFonts w:hint="eastAsia" w:cs="仿宋_GB2312"/>
          <w:b w:val="0"/>
          <w:sz w:val="24"/>
          <w:szCs w:val="24"/>
          <w:lang w:val="en-US" w:eastAsia="zh-CN"/>
        </w:rPr>
        <w:t>2027年12月31日前完成项目整体服务</w:t>
      </w:r>
      <w:r>
        <w:rPr>
          <w:rFonts w:hint="eastAsia"/>
          <w:b w:val="0"/>
          <w:sz w:val="24"/>
          <w:szCs w:val="24"/>
          <w:lang w:val="en-US" w:eastAsia="zh-CN"/>
        </w:rPr>
        <w:t>；</w:t>
      </w:r>
    </w:p>
    <w:p w14:paraId="1A03EF41">
      <w:pPr>
        <w:keepNext w:val="0"/>
        <w:numPr>
          <w:ilvl w:val="0"/>
          <w:numId w:val="4"/>
        </w:numPr>
        <w:spacing w:before="0" w:after="0" w:line="360" w:lineRule="auto"/>
        <w:ind w:firstLine="420"/>
        <w:jc w:val="both"/>
        <w:rPr>
          <w:rFonts w:hint="eastAsia"/>
          <w:b w:val="0"/>
          <w:sz w:val="24"/>
          <w:szCs w:val="24"/>
          <w:lang w:val="en-US" w:eastAsia="zh-CN"/>
        </w:rPr>
      </w:pPr>
      <w:r>
        <w:rPr>
          <w:rFonts w:hint="eastAsia"/>
          <w:b w:val="0"/>
          <w:sz w:val="24"/>
          <w:szCs w:val="24"/>
          <w:lang w:val="en-US" w:eastAsia="zh-CN"/>
        </w:rPr>
        <w:t>服务费分2期支付：</w:t>
      </w:r>
    </w:p>
    <w:p w14:paraId="68EA42D7">
      <w:pPr>
        <w:pStyle w:val="4"/>
        <w:rPr>
          <w:rFonts w:hint="eastAsia" w:ascii="宋体" w:hAnsi="宋体" w:cs="宋体"/>
          <w:b w:val="0"/>
          <w:bCs w:val="0"/>
          <w:color w:val="auto"/>
          <w:kern w:val="2"/>
          <w:sz w:val="24"/>
          <w:szCs w:val="24"/>
          <w:highlight w:val="none"/>
          <w:lang w:val="en-US" w:eastAsia="zh-CN" w:bidi="ar-SA"/>
        </w:rPr>
      </w:pPr>
      <w:r>
        <w:rPr>
          <w:rFonts w:hint="eastAsia"/>
          <w:b w:val="0"/>
          <w:sz w:val="24"/>
          <w:szCs w:val="24"/>
          <w:lang w:val="en-US" w:eastAsia="zh-CN"/>
        </w:rPr>
        <w:t>3.1完成</w:t>
      </w:r>
      <w:r>
        <w:rPr>
          <w:rFonts w:hint="eastAsia" w:ascii="宋体" w:hAnsi="宋体" w:cs="宋体"/>
          <w:b w:val="0"/>
          <w:bCs w:val="0"/>
          <w:color w:val="auto"/>
          <w:kern w:val="2"/>
          <w:sz w:val="24"/>
          <w:szCs w:val="24"/>
          <w:highlight w:val="none"/>
          <w:lang w:val="en-US" w:eastAsia="zh-CN" w:bidi="ar-SA"/>
        </w:rPr>
        <w:t>密码应用方案编制及备案工作，支付合同额的30%；</w:t>
      </w:r>
    </w:p>
    <w:p w14:paraId="7436D351">
      <w:pPr>
        <w:pStyle w:val="4"/>
        <w:rPr>
          <w:rFonts w:hint="default" w:ascii="宋体" w:hAnsi="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3.2完成整体服务，经采购人验收后，支付剩余70%服务费。</w:t>
      </w:r>
    </w:p>
    <w:p w14:paraId="08467514">
      <w:pPr>
        <w:pStyle w:val="4"/>
        <w:rPr>
          <w:rFonts w:hint="eastAsia"/>
          <w:lang w:val="en-US" w:eastAsia="zh-CN"/>
        </w:rPr>
      </w:pPr>
    </w:p>
    <w:p w14:paraId="59884ED6">
      <w:pPr>
        <w:pStyle w:val="4"/>
        <w:numPr>
          <w:ilvl w:val="0"/>
          <w:numId w:val="0"/>
        </w:numPr>
        <w:ind w:leftChars="200"/>
        <w:rPr>
          <w:rFonts w:hint="default"/>
          <w:lang w:val="en-US" w:eastAsia="zh-CN"/>
        </w:rPr>
      </w:pPr>
    </w:p>
    <w:p w14:paraId="498A927D">
      <w:pPr>
        <w:keepNext/>
        <w:numPr>
          <w:ilvl w:val="0"/>
          <w:numId w:val="0"/>
        </w:numPr>
        <w:spacing w:before="60" w:after="60" w:line="360" w:lineRule="auto"/>
        <w:jc w:val="both"/>
        <w:rPr>
          <w:rFonts w:hint="eastAsia" w:ascii="仿宋_GB2312" w:hAnsi="仿宋_GB2312" w:eastAsia="仿宋_GB2312"/>
          <w:b/>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A9A8C8"/>
    <w:multiLevelType w:val="singleLevel"/>
    <w:tmpl w:val="E3A9A8C8"/>
    <w:lvl w:ilvl="0" w:tentative="0">
      <w:start w:val="2"/>
      <w:numFmt w:val="chineseCounting"/>
      <w:suff w:val="nothing"/>
      <w:lvlText w:val="%1、"/>
      <w:lvlJc w:val="left"/>
      <w:rPr>
        <w:rFonts w:hint="eastAsia"/>
      </w:rPr>
    </w:lvl>
  </w:abstractNum>
  <w:abstractNum w:abstractNumId="1">
    <w:nsid w:val="FF18F8BE"/>
    <w:multiLevelType w:val="singleLevel"/>
    <w:tmpl w:val="FF18F8BE"/>
    <w:lvl w:ilvl="0" w:tentative="0">
      <w:start w:val="2"/>
      <w:numFmt w:val="chineseCounting"/>
      <w:suff w:val="nothing"/>
      <w:lvlText w:val="（%1）"/>
      <w:lvlJc w:val="left"/>
      <w:rPr>
        <w:rFonts w:hint="eastAsia"/>
      </w:rPr>
    </w:lvl>
  </w:abstractNum>
  <w:abstractNum w:abstractNumId="2">
    <w:nsid w:val="28531765"/>
    <w:multiLevelType w:val="singleLevel"/>
    <w:tmpl w:val="28531765"/>
    <w:lvl w:ilvl="0" w:tentative="0">
      <w:start w:val="1"/>
      <w:numFmt w:val="decimal"/>
      <w:lvlText w:val="%1."/>
      <w:lvlJc w:val="left"/>
      <w:pPr>
        <w:tabs>
          <w:tab w:val="left" w:pos="312"/>
        </w:tabs>
      </w:pPr>
    </w:lvl>
  </w:abstractNum>
  <w:abstractNum w:abstractNumId="3">
    <w:nsid w:val="73636CD1"/>
    <w:multiLevelType w:val="singleLevel"/>
    <w:tmpl w:val="73636CD1"/>
    <w:lvl w:ilvl="0" w:tentative="0">
      <w:start w:val="1"/>
      <w:numFmt w:val="decimal"/>
      <w:lvlText w:val="%1."/>
      <w:lvlJc w:val="left"/>
      <w:pPr>
        <w:tabs>
          <w:tab w:val="left" w:pos="312"/>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F203B0"/>
    <w:rsid w:val="01B47C4E"/>
    <w:rsid w:val="039A633B"/>
    <w:rsid w:val="07CD206E"/>
    <w:rsid w:val="0886462A"/>
    <w:rsid w:val="08DC4C5E"/>
    <w:rsid w:val="098971D2"/>
    <w:rsid w:val="0B9510F4"/>
    <w:rsid w:val="0C040775"/>
    <w:rsid w:val="0E4630B6"/>
    <w:rsid w:val="0FE143B0"/>
    <w:rsid w:val="124F7517"/>
    <w:rsid w:val="12632808"/>
    <w:rsid w:val="13CB7DA9"/>
    <w:rsid w:val="13F07810"/>
    <w:rsid w:val="165337F2"/>
    <w:rsid w:val="201912DA"/>
    <w:rsid w:val="210A460A"/>
    <w:rsid w:val="23B16EF5"/>
    <w:rsid w:val="241103ED"/>
    <w:rsid w:val="24D93D99"/>
    <w:rsid w:val="25382DC5"/>
    <w:rsid w:val="26C22CF2"/>
    <w:rsid w:val="26D60C3D"/>
    <w:rsid w:val="29472C62"/>
    <w:rsid w:val="29686EBC"/>
    <w:rsid w:val="2A8A2314"/>
    <w:rsid w:val="2AB21FCA"/>
    <w:rsid w:val="2AF35D91"/>
    <w:rsid w:val="2B2205C9"/>
    <w:rsid w:val="2B914308"/>
    <w:rsid w:val="2BE739F6"/>
    <w:rsid w:val="2D6973AD"/>
    <w:rsid w:val="2E7A444E"/>
    <w:rsid w:val="2F2666CA"/>
    <w:rsid w:val="31025EE6"/>
    <w:rsid w:val="32EA3D66"/>
    <w:rsid w:val="345A33D8"/>
    <w:rsid w:val="35E41F02"/>
    <w:rsid w:val="3A0A2AAE"/>
    <w:rsid w:val="3A634545"/>
    <w:rsid w:val="3B3307F6"/>
    <w:rsid w:val="3BFE2653"/>
    <w:rsid w:val="3D9231E6"/>
    <w:rsid w:val="40D865F2"/>
    <w:rsid w:val="42BF46CD"/>
    <w:rsid w:val="42C8446A"/>
    <w:rsid w:val="43073E9A"/>
    <w:rsid w:val="44DE5F8F"/>
    <w:rsid w:val="450D1720"/>
    <w:rsid w:val="45B63B66"/>
    <w:rsid w:val="472E3BD0"/>
    <w:rsid w:val="48086251"/>
    <w:rsid w:val="49434FA7"/>
    <w:rsid w:val="49FA60E9"/>
    <w:rsid w:val="4BA6467C"/>
    <w:rsid w:val="4F536409"/>
    <w:rsid w:val="52880638"/>
    <w:rsid w:val="52C03F18"/>
    <w:rsid w:val="52F203B0"/>
    <w:rsid w:val="544669FD"/>
    <w:rsid w:val="570163E4"/>
    <w:rsid w:val="59795021"/>
    <w:rsid w:val="5D7B40E8"/>
    <w:rsid w:val="5FA016B7"/>
    <w:rsid w:val="5FD65C48"/>
    <w:rsid w:val="611D6D37"/>
    <w:rsid w:val="623D3AD2"/>
    <w:rsid w:val="62BA09CE"/>
    <w:rsid w:val="62F82F07"/>
    <w:rsid w:val="6A2353D4"/>
    <w:rsid w:val="6BF90704"/>
    <w:rsid w:val="6C8720E9"/>
    <w:rsid w:val="709F5073"/>
    <w:rsid w:val="75D73EB2"/>
    <w:rsid w:val="77D66D40"/>
    <w:rsid w:val="7A224B46"/>
    <w:rsid w:val="7CC85951"/>
    <w:rsid w:val="7DCE7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00" w:lineRule="auto"/>
    </w:pPr>
    <w:rPr>
      <w:rFonts w:ascii="仿宋_GB2312" w:hAnsi="仿宋_GB2312" w:eastAsia="仿宋_GB2312" w:cstheme="minorBidi"/>
      <w:sz w:val="20"/>
      <w:szCs w:val="22"/>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4">
    <w:name w:val="Body Text First Indent 2"/>
    <w:basedOn w:val="2"/>
    <w:qFormat/>
    <w:uiPriority w:val="0"/>
    <w:pPr>
      <w:ind w:firstLine="420"/>
    </w:pPr>
    <w:rPr>
      <w:kern w:val="1"/>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9">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4468</Words>
  <Characters>4664</Characters>
  <Lines>0</Lines>
  <Paragraphs>0</Paragraphs>
  <TotalTime>4</TotalTime>
  <ScaleCrop>false</ScaleCrop>
  <LinksUpToDate>false</LinksUpToDate>
  <CharactersWithSpaces>4706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2026-10-09T00:29:00Z</dcterms:created>
  <dc:creator>郑怀宇</dc:creator>
  <cp:lastModifiedBy>郑怀宇</cp:lastModifiedBy>
  <dcterms:modified xsi:type="dcterms:W3CDTF">2026-10-20T00:26:11Z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D89CF08573B64C71B401F2676611D8A9_13</vt:lpwstr>
  </property>
  <property fmtid="{D5CDD505-2E9C-101B-9397-08002B2CF9AE}" pid="4" name="KSOTemplateDocerSaveRecord">
    <vt:lpwstr>eyJoZGlkIjoiMmE1MDljYTY4MzgxYWJmYmRmMDJjMmU2ZGQ3NWVjOWIiLCJ1c2VySWQiOiIxNDcxNTg3NDEzIn0=</vt:lpwstr>
  </property>
</Properties>
</file>