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E8154">
      <w:pPr>
        <w:autoSpaceDE w:val="0"/>
        <w:autoSpaceDN w:val="0"/>
        <w:ind w:right="-100"/>
        <w:jc w:val="center"/>
        <w:outlineLvl w:val="0"/>
        <w:rPr>
          <w:rFonts w:hint="default" w:ascii="宋体" w:hAnsi="宋体" w:eastAsia="宋体" w:cs="宋体"/>
          <w:b/>
          <w:bCs/>
          <w:color w:val="auto"/>
          <w:spacing w:val="0"/>
          <w:kern w:val="0"/>
          <w:sz w:val="44"/>
          <w:szCs w:val="44"/>
          <w:lang w:val="en-US" w:eastAsia="zh-CN"/>
        </w:rPr>
      </w:pPr>
      <w:bookmarkStart w:id="0" w:name="_Toc3073"/>
      <w:bookmarkStart w:id="1" w:name="_Toc10517"/>
      <w:bookmarkStart w:id="2" w:name="_Toc22481"/>
      <w:bookmarkStart w:id="3" w:name="_Toc2067690187"/>
      <w:bookmarkStart w:id="4" w:name="_Toc19982"/>
      <w:bookmarkStart w:id="5" w:name="_Toc7894"/>
      <w:r>
        <w:rPr>
          <w:rFonts w:hint="eastAsia" w:ascii="宋体" w:hAnsi="宋体" w:cs="宋体"/>
          <w:b/>
          <w:bCs/>
          <w:color w:val="auto"/>
          <w:spacing w:val="0"/>
          <w:kern w:val="0"/>
          <w:sz w:val="44"/>
          <w:szCs w:val="44"/>
          <w:lang w:eastAsia="zh-CN"/>
        </w:rPr>
        <w:t>数智考评一体化管理平台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宋体" w:hAnsi="宋体" w:cs="宋体"/>
          <w:b/>
          <w:bCs/>
          <w:color w:val="auto"/>
          <w:spacing w:val="0"/>
          <w:kern w:val="0"/>
          <w:sz w:val="44"/>
          <w:szCs w:val="44"/>
          <w:lang w:val="en-US" w:eastAsia="zh-CN"/>
        </w:rPr>
        <w:t>需求参数</w:t>
      </w:r>
    </w:p>
    <w:p w14:paraId="194BFF34">
      <w:pPr>
        <w:widowControl/>
        <w:jc w:val="both"/>
        <w:textAlignment w:val="top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宋体" w:hAnsi="宋体" w:cs="宋体"/>
          <w:b/>
          <w:bCs/>
          <w:color w:val="auto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bidi="ar"/>
        </w:rPr>
        <w:t>功能需求</w:t>
      </w:r>
    </w:p>
    <w:tbl>
      <w:tblPr>
        <w:tblStyle w:val="3"/>
        <w:tblW w:w="97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8"/>
        <w:gridCol w:w="1591"/>
        <w:gridCol w:w="1960"/>
        <w:gridCol w:w="4482"/>
      </w:tblGrid>
      <w:tr w14:paraId="563DB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tblHeader/>
          <w:jc w:val="center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EF81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一级功能模块</w:t>
            </w: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4CF6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二级功能模块</w:t>
            </w:r>
          </w:p>
        </w:tc>
        <w:tc>
          <w:tcPr>
            <w:tcW w:w="1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2B0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功能点</w:t>
            </w:r>
          </w:p>
        </w:tc>
        <w:tc>
          <w:tcPr>
            <w:tcW w:w="4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12B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功能描述</w:t>
            </w:r>
          </w:p>
        </w:tc>
      </w:tr>
      <w:tr w14:paraId="048D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tblHeader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D63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DCF4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198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2"/>
                <w:szCs w:val="20"/>
              </w:rPr>
            </w:pPr>
          </w:p>
        </w:tc>
        <w:tc>
          <w:tcPr>
            <w:tcW w:w="4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D734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color w:val="auto"/>
                <w:sz w:val="22"/>
                <w:szCs w:val="20"/>
              </w:rPr>
            </w:pPr>
          </w:p>
        </w:tc>
      </w:tr>
      <w:tr w14:paraId="12A22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F3C7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开放与集成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9666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数据交互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EFBC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对接教务管理系统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C537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系统具备成熟、标准化、可拓展的API接口数据交互能力，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对接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现有教务管理系统，实现全校全维度基础数据的双向互通、实时交互与精准回传。接口全面支持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组织架构信息、教职工用户信息、在校学生基础信息、各专业课程开设信息、课程考核成绩信息等核心教学数据的同步调取与闭环更新。为保障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数据自主管控权益，中标方需免费开放系统全部底层数据库读取权限，全程无隐藏限制、无技术锁定、无二次收费，实现全校教学数据一体化联动、标准化管理，完全适配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常态化教学管理数据流转需求。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对接费用由中标人承担。</w:t>
            </w:r>
          </w:p>
        </w:tc>
      </w:tr>
      <w:tr w14:paraId="0A4E8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CFC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597E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系统集成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26BF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对接智慧校园平台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F424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无缝集成至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现有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智慧校园网上办事大厅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，遵循校园统一信息化建设标准，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对接学校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统一身份认证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，完美适配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现有账号权限体系。实现校园一站式登录服务，师生可通过校园统一账号密码单点登录阅卷系统，无需重复注册、二次验证、多次登录。兼容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现有身份安全校验机制，保障系统集成后的账号安全、权限安全与数据安全，全面融入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智慧教学生态体系。</w:t>
            </w:r>
          </w:p>
        </w:tc>
      </w:tr>
      <w:tr w14:paraId="3A639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4C4A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系统基础管理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A040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组织管理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93E5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组织信息创建与管理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CEB3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系统支持全方位、层级化的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组织信息创建与精细化管理，完整覆盖教职工组织架构与学生教学组织架构两大核心体系。组织信息支持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同步教务系统数据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，完成教务系统对接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工作后应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实现全校组织信息的全自动实时同步更新。系统组织架构支持至少十级层级自定义搭建。</w:t>
            </w:r>
          </w:p>
        </w:tc>
      </w:tr>
      <w:tr w14:paraId="14D90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ABC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FC0D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用户管理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9B11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用户信息创建与管理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0991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全校师生用户信息的全生命周期精细化管理，用户信息字段全面、规范、完善，完整涵盖姓名、工号/学号、身份证号、手机号、所属院系部门、邮箱等官方标准备案信息，契合高校教学人员信息管理规范。系统支持用户基础数据对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校教务管理系统后可实现用户数据全自动实时同步更新，无需人工重复录入。</w:t>
            </w:r>
          </w:p>
        </w:tc>
      </w:tr>
      <w:tr w14:paraId="5FCE4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3B9C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A8C7C6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系统设置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0DE3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账户与安全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8487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系统配备完善的个人账户安全管理功能。</w:t>
            </w:r>
          </w:p>
        </w:tc>
      </w:tr>
      <w:tr w14:paraId="5C4A2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1ADC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D862A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08C5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偏好设置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F623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系统充分兼顾人性化操作体验，支持用户根据个人视觉习惯、办公场景需求自主选择系统主题颜色，适配不同光线环境、不同使用人群的操作体验，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缓解长时间阅卷、数据统计、系统运维带来的视觉疲劳。</w:t>
            </w:r>
          </w:p>
        </w:tc>
      </w:tr>
      <w:tr w14:paraId="71D4B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525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217E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角色及权限管理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5E8D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系统角色创建与权限管理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6C68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系统具备高度灵活、可自定义的系统角色创建与精细化菜单权限管控能力，管理员可根据校园运维需求自主创建超级管理员、普通管理员、运维成员、只读成员等各类系统角色，完全适配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多级运维管理架构。支持对每一类自定义系统角色进行精准的菜单权限分配、功能权限开放、操作权限限制，实现权限的精准拆分与按需配置。角色创建完成后，可通过手动单项配置、模板批量导入两种方式，为全校用户匹配单个或多个系统角色，满足一人多岗、一岗多权的复合型运维需求，实现系统后台操作权限的分级管控、权责分明，杜绝越权操作、误操作风险，保障系统稳定合规运行。</w:t>
            </w:r>
          </w:p>
        </w:tc>
      </w:tr>
      <w:tr w14:paraId="2819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9CC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112C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10D8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业务角色与权限管理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4FFE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针对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教学业务全流程管控需求，系统支持自主创建各类贴合教学场景的业务角色，精准覆盖课程负责人、教研室主任、教务秘书、阅卷组长、授课教师、学生等全岗位业务身份。可针对不同业务角色精准划分差异化的数据查看权限、业务操作权限、流程审批权限，严格区分各岗位的业务权责边界，实现教学考核业务的规范化、流程化、精细化管控。业务角色创建完成后，支持手动单项配置、批量统一分配两种模式为用户绑定业务角色，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常态化教学分工、考核管理、流程审批等核心业务场景。</w:t>
            </w:r>
          </w:p>
        </w:tc>
      </w:tr>
      <w:tr w14:paraId="7D539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77A8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5846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班级管理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32C2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行政班管理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459B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系统支持标准化、层级化的学生行政班组织架构搭建与精细化管理，行政班组织架构支持至少十级层级自定义搭建，可完全匹配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院系-专业-年级-行政班的标准组织体系。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支持对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接教务管理系统后可实现行政班数据全自动实时同步更新。</w:t>
            </w:r>
          </w:p>
        </w:tc>
      </w:tr>
      <w:tr w14:paraId="5F05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47E4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499FB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学生管理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565C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教学班管理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CFB283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系统可根据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个性化教学安排、分科授课、小班教学、跨班选课等多元化教学场景，灵活自主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管理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各类教学班，精准适配中医药专业理论教学、实操教学、分组教学等特色教学模式。对接教务管理系统后实现教学班人员数据全自动同步更新。</w:t>
            </w:r>
          </w:p>
        </w:tc>
      </w:tr>
      <w:tr w14:paraId="5A359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B487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520C3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C1A7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学生信息管理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1F4247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支持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完善的全校学生信息档案管理体系，学生信息字段全面覆盖姓名、学号、所属学院、所学专业、入学时间、所属行政班、所属教学班、学籍状态等核心学籍信息，完全契合高校学生信息化管理标准。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支持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对接教务系统全自动实时同步，降低信息录入运维成本。</w:t>
            </w:r>
          </w:p>
        </w:tc>
      </w:tr>
      <w:tr w14:paraId="0ACA1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34C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E69F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样式管理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B04B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（试卷、题卡）通用样式设置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38BEDC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须具备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高度智能化、可自定义的试卷与答题卡样式预设功能，可提前批量保存各类标准化试卷、答题卡模板，适配全校各类课程、各类考试的出题与阅卷需求。系统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支持多规格纸张尺寸适配，全面兼容A3、A4、8K、16K、B4、B5等主流考试用纸规格，同时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支持OMR机器填涂识别模式、OCR手写识别模式、条码自动识别模式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版式模式，可根据不同考试场景、不同识别需求自由切换。样式自定义维度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丰富全面，可自主设置试卷答题卡标题格式、学期课程信息自动展示规则、字体大小、行间距、页眉页脚公示信息、考试注意事项、单面/双面打印模式等基础格式。同时支持个性化自定义学生信息填写板块，可自由增减、排序年级、班级、学号、姓名、专业等填写栏目，适配中医药理论考试、实操笔试、综合考核等各类考试场景。预设样式可在组卷、制卡环节直接一键调用，系统自动完成标准化排版、格式适配，无需人工二次编辑调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保障全校考试试卷、答题卡格式统一、规范标准。</w:t>
            </w:r>
          </w:p>
        </w:tc>
      </w:tr>
      <w:tr w14:paraId="0D9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C00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57D5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日志管理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EFC9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操作日志监控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3104DFC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须具备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全流程、全维度、可溯源的操作日志监控体系，具备完善的行为记录与数据留存能力，可实时精准记录所有后台管理员、授课教师、阅卷人员的全部系统操作行为。日志详细留存操作内容、操作时间、登录IP地址、操作设备、操作结果、权限使用记录等核心信息，实现系统操作全程可追溯、可核查、可审计。所有日志数据自动留存、长期归档、支持精准检索与批量导出，可有效排查系统运维问题、规范操作人员行为、规避违规操作风险，保障考试阅卷全流程合规、透明、可溯源，满足高校教学考核审计与安全管理的高标准要求。</w:t>
            </w:r>
          </w:p>
        </w:tc>
      </w:tr>
      <w:tr w14:paraId="3A81A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AFE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2C56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纸笔考试管理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6E1C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考试创建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3C12A2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灵活多元化的纸笔考试创建模式，管理员可根据教学考核需求手动自主创建各类课程纸笔考试任务，创建过程中可精准关联对应学期、对应专业、对应课程、对应教学班，实现考试任务与日常教学体系精准绑定。根据学校的教学场景需求，系统还需能支持同一个课程编码，同一个课程名称，同时创建多个考试任务，如同一门专业课程，同一个课程编码，同时可以创建5场乃至更多考试任务。每一个考试任务都需精准关联，对应学期专业课程和教学班。同时系统支持智能化自动生成考试任务，若教师在课程考核方案中预设了纸笔考试考核项目，考核方案正式发布后，系统可全自动识别、一键生成对应纸笔考试任务，无需人工重复创建，简化考试筹备流程，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常态化期中、期末、随堂、专项考核等各类纸笔考试场景。</w:t>
            </w:r>
          </w:p>
        </w:tc>
      </w:tr>
      <w:tr w14:paraId="2F664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51D7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网络阅卷</w:t>
            </w: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368410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制卡管理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A3A4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考试管理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1EBAAF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全方位的纸笔考试全流程管控能力，管理员可对已创建的考试任务进行精细化配置管理，可自主设置、修改考试负责人、专属出卷人、阅卷组长、阅卷成员等岗位人员，明确各岗位权责分工。同时支持精细化权限配置，可独立管控各工作人员是否具备学生信息查看权限、扫描数据查看权限、客观题平均分查看权限、阅卷重启权限、试卷重评权限、数据修改权限等核心操作权限。针对考试出卷模式，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支持单卷考试、多卷随机考试等多种出卷形式，规避考试作弊风险，保障考试公平公正，全面适配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各类标准化、规范化考试考核需求。</w:t>
            </w:r>
          </w:p>
        </w:tc>
      </w:tr>
      <w:tr w14:paraId="699D3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1DC1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8D580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A5B9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在线制卡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858326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搭载可视化、智能化在线答题卡设计功能，教师可通过系统可视化操作界面自主完成全套答题卡设计制作，无需借助第三方工具，操作简单、功能全面。系统支持三大答题卡制作模式，分别为OMR机器填涂识别模式、OCR手写识别模式、人机混合识别模式，适配不同考试场景与阅卷需求。其中OMR模式支持学生填涂学号、客观题答案、粘贴条形码完成信息录入与答题；OCR模式支持学生手写学号、手写客观题答案，无需额外填涂操作，适配轻量化考试场景。答题卡可自定义试卷标题、副标题、题目序号、配图、公式、答题横线、作文专用方格、专属作答区域等全维度内容，支持客观题、主观题作答区域精准分区与智能识别标记，可完美适配中医药专业含图文、公式、专业术语、大题论述的各类试卷答题卡制作需求。</w:t>
            </w:r>
          </w:p>
        </w:tc>
      </w:tr>
      <w:tr w14:paraId="43A37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3512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31B599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扫描管理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C3C4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答题卡模板管理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C68564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答题卡模板的常态化保存、分类管理、一键复用，教师完成标准化答题卡设计制作后，可直接将优质模板保存至系统模板库。后续同类型、同课程考试制作答题卡时，可直接一键调取历史模板，无需重复设计排版，仅需简单微调即可快速生成标准化答题卡，同时保障同课程常态化考试答题卡格式统一、规范标准。</w:t>
            </w:r>
          </w:p>
        </w:tc>
      </w:tr>
      <w:tr w14:paraId="02ED1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21B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FAB3EE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1591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自动切卡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5B601D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搭载智能自动切卡技术，可根据试卷题目分布、答题卡作答区域划分规则，全自动精准识别各题目对应的答题卡作答位置，完成答题卡子图智能切割与分区归类。系统可精准匹配每一道试题的专属阅卷区域，实现阅卷区域精准分配、分区管控，彻底解决传统人工切卡分区误差大、效率低、易出错的问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。</w:t>
            </w:r>
          </w:p>
        </w:tc>
      </w:tr>
      <w:tr w14:paraId="632B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08EA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F5C20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1683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扫描授权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7DAF34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系统具备极强的设备兼容性与拓展性，全面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国产化设备,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适配市场主流国产扫描仪，支持单台设备独立接入、多台设备同时并联接入，可满足大规模考试集中扫描、批量阅卷的工作需求，提升试卷扫描效率。同时系统兼容A4、A3、8K、16K等各类主流考试纸张规格，可精准识别不同尺寸、不同版式的答题卡文件，适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各类纸笔考试的答题卡扫描场景，设备适配性强、接入便捷、运行稳定。</w:t>
            </w:r>
          </w:p>
        </w:tc>
      </w:tr>
      <w:tr w14:paraId="7B08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3138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E652CB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阅卷管理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92B0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常规扫描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C50076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标准化常规扫描功能，可对单场考试、单一科目的答题卡进行精准分类扫描、统一归档，扫描过程规范有序、识别精准、运行稳定。支持答题卡单面扫描、正反双面自动识别扫描两种模式，可自动适配双面作答答题卡的扫描需求，无需人工分拣翻面，减少人工操作成本，保障试卷扫描完整、无遗漏、无破损、无错扫。</w:t>
            </w:r>
          </w:p>
        </w:tc>
      </w:tr>
      <w:tr w14:paraId="13D61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419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F2E0C3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3D9D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混合扫描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2D8270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搭载行业领先的多场次混合扫描智能识别技术，打破传统单场单科目扫描限制，支持将多场考试、多门科目、多个班级的答题卡混合堆叠一次性扫描录入。系统可通过二维码识别方式，自动精准区分不同考试、不同科目、不同考场、不同班级的答题卡数据，完成自动分类、精准归档，无需人工提前分拣整理，适配期末统考、多科目联考等批量考试场景。</w:t>
            </w:r>
          </w:p>
        </w:tc>
      </w:tr>
      <w:tr w14:paraId="3FBC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9EF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F42AA8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61BE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填涂与条码识别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C072C0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依托成熟的OMR光学识别技术，具备高精度、高灵敏度的答题卡信息识别能力，可全自动精准识别答题卡二维码、考生专属条形码、手写/填涂考号、客观题填涂答案、缺考违纪标记等核心信息。识别过程支持自动校验、智能纠错、重复核验，有效规避识别误差，识别完成后可自动关联对应考试任务、对应阅卷任务，完成数据闭环交互，实现考生身份自动匹配、答题数据自动归档、缺考信息自动统计，全程智能化、自动化、精准化，无需人工核对录入。</w:t>
            </w:r>
          </w:p>
        </w:tc>
      </w:tr>
      <w:tr w14:paraId="236A5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26E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849D49C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01DC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OCR手写体识别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EC07A8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搭载先进的AI智能OCR手写体识别技术，突破传统答题卡依赖条码、填涂的局限，可精准识别学生手写学号、手写考号、手写字母、判断符号、简易答题符号等各类手写信息。依托该功能，考试过程中答题卡无需粘贴条形码、无需规范填涂信息，学生可直接手写完成信息填报与客观题作答，简化考试流程、降低考务成本。同时系统可全自动识别学生手写个人信息、手写客观题答案并完成自动匹配、自动评分，识别准确率高、适配性强，简化考务与阅卷流程，适配各类轻量化、常态化随堂考核场景。</w:t>
            </w:r>
          </w:p>
        </w:tc>
      </w:tr>
      <w:tr w14:paraId="3288F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F6C9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B42CA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FF54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异常识别与处理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795B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全方位、智能化的扫描异常识别与闭环处理能力，可实时智能识别扫描全流程各类异常问题，具体包含二维码识别失败、答题卡定位点偏移异常、考号缺失、考号重复、客观题填涂识别异常、考生缺考、考试违纪等各类常见异常场景，实现异常问题全覆盖、无遗漏监测。系统支持自定义异常处理机制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支持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扫描过程中实时处理、扫描完成后统一批量处理，管理员可随时对异常数据进行人工核验、纠错、补录、标记归档，保障所有考试数据完整、精准、有效，杜绝异常数据影响阅卷进度与成绩统计结果。</w:t>
            </w:r>
          </w:p>
        </w:tc>
      </w:tr>
      <w:tr w14:paraId="2A205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329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94BEA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5E16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阅卷老师管理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743442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阅卷人员的全流程精细化管理，阅卷负责人可根据考试阅卷需求，灵活添加、移除、调整参与阅卷的教师成员，可实时更新阅卷团队人员名单、分工权限。人员管理操作不受阅卷进度限制，在阅卷工作正式开启前、阅卷过程中、阅卷收尾阶段均可随时调整阅卷团队配置，适配临时人员变动、分工调整、补阅加阅等各类突发场景，保障阅卷工作灵活有序推进。</w:t>
            </w:r>
          </w:p>
        </w:tc>
      </w:tr>
      <w:tr w14:paraId="77982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04BD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C4B58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归档与成绩管理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F4D2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合并/拆分题组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63C14B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高度灵活的试题分组管理功能，可根据阅卷分工需求、试题题型特点、阅卷难度，自主完成小题合并组卷、组合题拆分拆解操作。可将多个关联小题合并为一个完整题组，统一分配阅卷任务，适配综合性大题的阅卷分工；也可将复杂组合题拆分为多个独立题组，拆分后分配给不同阅卷教师，实现精细化流水阅卷。通过题组合并与拆分功能，可灵活适配不同阅卷节奏、不同人员分工需求。</w:t>
            </w:r>
          </w:p>
        </w:tc>
      </w:tr>
      <w:tr w14:paraId="6A1ED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224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1D094B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8BE2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阅卷模式选择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C4D513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提供两种主流标准化阅卷模式，可根据考试规模、阅卷需求自由切换选择，全面适配各类考试场景。一是按生阅卷模式，即整卷批阅模式，阅卷教师独立完成单名学生整张试卷的全部批阅工作，同时支持班级自评、阅卷任务平均分配、自定义比例分配等多种分配方式，适配小规模班级考核；二是按题组阅卷模式，即传统流水阅卷模式，不同教师负责固定题组批阅，分工明确、高效规范，适配大规模统考、期末联考等标准化考试场景，两种模式全覆盖满足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多元化阅卷需求。</w:t>
            </w:r>
          </w:p>
        </w:tc>
      </w:tr>
      <w:tr w14:paraId="78F8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53A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1B8B9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E277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阅卷任务分配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D15D4F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智能化、多元化的阅卷任务分配方式，完美适配按生阅卷、按题组阅卷两种核心模式。系统支持两种任务量配置模式，分别为人工自定义设置单教师阅卷任务量、按班级人数平均自动分配任务量，可根据阅卷教师人数、试卷总量、阅卷时长灵活调配任务，实现阅卷任务均衡分配，避免任务积压、分配不均问题，保障阅卷工作高效、公平、有序推进。</w:t>
            </w:r>
          </w:p>
        </w:tc>
      </w:tr>
      <w:tr w14:paraId="5DD56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101B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8DBF0C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7721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客观题自动评分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97A5BD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全场景客观题智能自动评分能力，全面兼容OMR填涂式答题卡、OCR手写式答题卡以及混合模式答题卡，可完成客观题全自动精准阅卷评分，全程无需人工介入操作。系统支持多种标准答案录入方式，既可对接题库系统自动同步标准答案，也支持教师手动录入、批量导入更新标准答案，满足不同阅卷答案录入需求。系统支持多元化多选题评分规则自定义配置，可依据学校课程考核标准，自主设置全对得分、多选扣分、漏选扣分等常规评分规则。结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考试特殊考核场景，可自定义个性化答案计分规则，支持多选题少选漏选半分、少选漏选不得分、按选项组合分级得分等多种计分模式，可完全匹配中医药专业各类考试评分规范，评分结果精准无误，评分规则灵活可调。</w:t>
            </w:r>
          </w:p>
        </w:tc>
      </w:tr>
      <w:tr w14:paraId="1AA7A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E316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73AD0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4E48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考生信息隐藏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85C063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系统具备完善的阅卷保密机制，支持精细化权限管控，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考试管理者/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阅卷负责人可自主设置阅卷教师的信息查看权限，可自由开启或关闭学生个人信息查看权限、班级信息查看权限，落实匿名阅卷、公平阅卷的考核要求，最大限度规避人情阅卷、阅卷偏差问题，保障考试阅卷的公平、公正、公开，契合高校标准化考试保密管理规范。</w:t>
            </w:r>
          </w:p>
        </w:tc>
      </w:tr>
      <w:tr w14:paraId="35A8C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2D4E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04934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8226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阅卷监控与抽查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0A1E7B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系统搭载可视化、全维度阅卷进度监控体系，可实时展示考试基础信息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整体阅卷进度、各教师个人阅卷进度、题目作答详情、已阅/未阅试题数量、试卷批阅状态等数据，数据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实时更新、可视化呈现，便于管理人员实时掌握阅卷全局情况。系统支持阅卷组长、考试负责人实时查看各班客观题平均分数据，所有阅卷操作日志、进度数据可一键导出归档，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以便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后续复盘核查。同时系统配备阅卷抽查功能，负责人可随机抽取已批阅试卷进行复核抽查，抽查过程中可直接修正错误评分、调整批阅结果，严控阅卷质量。系统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支持进度式成绩导出功能，管理员可自主开启权限，允许教师完成本班试卷批阅后，无需等待全校全部阅卷结束，即可实时导出本班成绩单。</w:t>
            </w:r>
          </w:p>
        </w:tc>
      </w:tr>
      <w:tr w14:paraId="794AE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FF4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F6D42E6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D445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单评/双评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7560EF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支持精细化的阅卷质量管控模式，可根据试题重要程度、分值大小、难度系数，自主为不同题组设置单评阅卷、双评阅卷模式。常规基础题型可采用单评模式提升阅卷效率，核心重点题型、高分值主观题、论述题可采用双评模式保障阅卷精准度。开启双评模式后，可自定义设置两位阅卷教师的评分误差阈值，若双方评分差值超出预设误差值，系统将自动锁定该试卷题目，流转至阅卷组长进行人工仲裁复核，有效降低主观题阅卷误差，最大限度保障阅卷评分的精准性、公平性、规范性。</w:t>
            </w:r>
          </w:p>
        </w:tc>
      </w:tr>
      <w:tr w14:paraId="6FB45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A19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26ECFD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E503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批阅给分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70CFF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系统提供多元化、人性化的阅卷批阅操作功能，适配教师常态化阅卷操作习惯。阅卷教师可在权限范围内查看待批阅试卷内容，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支持键盘快捷给分、鼠标点击给分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便捷评分方式，可精准按照小题、答题步骤设置给分点、扣分点，实现精细化分步评分。评分精度全面适配高校考核标准，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支持整数分值评分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0.5分小分值精细化评分，贴合各类课程评分细则。同时系统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配备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多种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阅卷批注工具，支持波浪线、下划线、文字备注、对号、错号、圆圈、斜杠、半对号、疑问标记等多元化批注标注，批注大小可自定义调整，满足教师阅卷标注需求。针对批阅失误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，系统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支持回评修改功能，阅卷完成后若发现打分错误、批注失误，可随时撤回修改、重新批阅，所有阅卷批注、评分痕迹将全程留存，随答卷永久归档。整卷阅卷过程中，主观题单题批阅完成后，系统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自动汇总得分，实时叠加客观题总分，阅卷界面动态展示试卷累计总分，方便阅卷人员实时核对分值、把控阅卷质量，全程可视化、精准化、可溯源。</w:t>
            </w:r>
          </w:p>
        </w:tc>
      </w:tr>
      <w:tr w14:paraId="6CF70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EA2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A976F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163B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答卷归档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114FF6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系统具备考试答卷全流程电子化智能归档能力，所有阅卷工作全部完成后，系统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能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全自动整合试卷原题内容、学生答题卡作答内容、阅卷教师信息、精准阅卷时间、全套阅卷批注痕迹、客观题对错标记、标准答案对照、最终得分等全维度信息，生成完整、规范、可溯源的电子化答卷档案。归档档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分类清晰、信息全面、格式标准，支持按课程名称、考试学期、行政班、教学班、学生学号、等多维度精准检索、批量查询、单独导出、批量归档，实现考试答卷电子化永久留存，节省存档空间，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以便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长期查阅、复盘、溯源、审计。</w:t>
            </w:r>
          </w:p>
        </w:tc>
      </w:tr>
      <w:tr w14:paraId="272A2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79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4005A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045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成绩统计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4600811D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系统搭载智能化全自动成绩统计体系，阅卷工作结束后，系统将自动完成客观题、主观题分值汇总，精准生成每位考生个人总分、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客观题得分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主观题得分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等核心成绩数据，统计过程全程自动化、零人工干预，无统计误差。系统支持多维度成绩导出模式，可按教学班、行政班等不同维度批量导出成绩报表，同时延续进度式导出优势，支持班级自评模式下教师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完成阅卷后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随时下载本班专属成绩数据。系统支持成绩数据一键同步至成绩分析系统，为后续深度学情分析、教学质量评估提供数据支撑。</w:t>
            </w:r>
          </w:p>
        </w:tc>
      </w:tr>
      <w:tr w14:paraId="3576A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736EAC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szCs w:val="20"/>
              </w:rPr>
            </w:pPr>
          </w:p>
        </w:tc>
        <w:tc>
          <w:tcPr>
            <w:tcW w:w="159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E3974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5236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2"/>
                <w:szCs w:val="20"/>
                <w:lang w:val="en-US" w:eastAsia="zh-CN" w:bidi="ar"/>
              </w:rPr>
              <w:t>考试分析</w:t>
            </w:r>
          </w:p>
        </w:tc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ABE4FD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系统具备全方位、专业化、可视化的考试数据分析能力，可针对每场考试开展多维度、深层次数据复盘分析，适配高校教学教研评估需求。分析维度覆盖考试总体整体数据分析、各班成绩对比分析、试卷整体质量分析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val="en-US" w:eastAsia="zh-CN"/>
              </w:rPr>
              <w:t>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板块，其中试卷分析细化包含题型得分统计、试题难度系数测算、考试信度效度评估、试题区分度分析、单小题得分情况、章节知识点掌握情况、成绩分段分布、缺考缓考人员统计等精细化分析内容。所有分析数据均以柱状图、折线图、饼图、数据表等可视化形式直观呈现，报表支持一键下载、批量导出、打印归档，为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  <w:lang w:eastAsia="zh-CN"/>
              </w:rPr>
              <w:t>学校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教学质量评估、课程优化、知识点查漏补缺、教研改革提供精准、全面的数据支撑。</w:t>
            </w:r>
          </w:p>
          <w:p w14:paraId="4F74BA1B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考试成绩分析</w:t>
            </w:r>
          </w:p>
          <w:p w14:paraId="03C96A82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总体分析：提供最高分、最低分、平均分、中位数等基础统计量，并以可视化图表呈现成绩分数段分布、等级分布及正态性检验结果。</w:t>
            </w:r>
          </w:p>
          <w:p w14:paraId="244E8E01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班级分析：按教学班维度对比最高分、最低分、平均分、优秀率、及格率等指标；引入“超均率”（高于总体平均分的学生比例）和箱体图，直观反映班级间差异、成绩离散程度及潜在异常值。</w:t>
            </w:r>
          </w:p>
          <w:p w14:paraId="046901AD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试卷分析</w:t>
            </w:r>
          </w:p>
          <w:p w14:paraId="245109AA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题型与难易度分析：展示试卷题型构成、各题型题量占比、满分值、平均分及整体难易度分布，辅助教师优化题型结构与难度梯度。</w:t>
            </w:r>
          </w:p>
          <w:p w14:paraId="3FA2337C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信度分析：基于教育测量学的方法，评估试卷结果的稳定性与一致性；系统自动计算并标注信度等级，为试卷可靠性提供量化依据。</w:t>
            </w:r>
          </w:p>
          <w:p w14:paraId="09563AF0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效度分析：通过双向细目表与知识点覆盖度检查，验证试题内容是否契合课程目标与教学大纲；支持内容效度与结构效度的可视化呈现。</w:t>
            </w:r>
          </w:p>
          <w:p w14:paraId="484BC959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区分度分析：采用高分组–低分组法（P_H – P_L）计算每道题的区分指数，标识区分效果（如:优秀≥0.4，需修订&lt;0.2），帮助识别无效或反向题目，提升试题筛选精准度。</w:t>
            </w:r>
          </w:p>
          <w:p w14:paraId="60157889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得分详情：展示各题型的平均分、得分率、满分人数、零分人数等关键信息，让教师能够精准定位学生在不同知识点上的表现。</w:t>
            </w:r>
          </w:p>
          <w:p w14:paraId="79247DC6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知识点得分：详细列出各知识点对应的试题号、满分、平均得分及得分率，帮助教师发现学生普遍存在的薄弱环节，为后续教学改进提供依据。</w:t>
            </w:r>
          </w:p>
          <w:p w14:paraId="085D5B79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考核成绩分析</w:t>
            </w:r>
          </w:p>
          <w:p w14:paraId="6711FBAC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课程考核分析：按教学班维度汇总最高分、最低分、平均分、中位数、优秀率、及格率等核心指标，支持多班级横向对比与趋势研判。</w:t>
            </w:r>
          </w:p>
          <w:p w14:paraId="292356B0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教学班考核分析：细化至班级内部，展示成绩等级分布、分数段人数分布，为分层教学与学业干预提供数据支撑。</w:t>
            </w:r>
          </w:p>
          <w:p w14:paraId="00699EB3">
            <w:pPr>
              <w:spacing w:before="120" w:after="120" w:line="288" w:lineRule="auto"/>
              <w:ind w:left="0" w:leftChars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pacing w:val="10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2"/>
              </w:rPr>
              <w:t>个人成绩分析：面向学生个体，生成包含各课程成绩、等级、教学班排名、均分对比及分数段位置的个性化报告，促进自我认知与主动学习。</w:t>
            </w:r>
          </w:p>
        </w:tc>
      </w:tr>
    </w:tbl>
    <w:p w14:paraId="0E666CA0">
      <w:pPr>
        <w:rPr>
          <w:rFonts w:hint="eastAsia" w:ascii="宋体" w:hAnsi="宋体" w:cs="宋体"/>
          <w:b/>
          <w:bCs/>
          <w:color w:val="auto"/>
          <w:spacing w:val="10"/>
          <w:kern w:val="0"/>
          <w:sz w:val="32"/>
          <w:szCs w:val="32"/>
          <w:lang w:val="en-US" w:eastAsia="zh-CN" w:bidi="ar"/>
        </w:rPr>
      </w:pPr>
    </w:p>
    <w:p w14:paraId="1DF2A316">
      <w:pPr>
        <w:rPr>
          <w:rFonts w:hint="eastAsia" w:ascii="宋体" w:hAnsi="宋体" w:eastAsia="宋体" w:cs="宋体"/>
          <w:b/>
          <w:bCs/>
          <w:color w:val="auto"/>
          <w:spacing w:val="10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cs="宋体"/>
          <w:b/>
          <w:bCs/>
          <w:color w:val="auto"/>
          <w:spacing w:val="10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pacing w:val="10"/>
          <w:kern w:val="0"/>
          <w:sz w:val="32"/>
          <w:szCs w:val="32"/>
          <w:lang w:val="en-US" w:eastAsia="zh-CN" w:bidi="ar"/>
        </w:rPr>
        <w:t>商务要求</w:t>
      </w:r>
    </w:p>
    <w:p w14:paraId="4D776F06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1.软件3年免费质保；</w:t>
      </w:r>
    </w:p>
    <w:p w14:paraId="1A62CF6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  <w:t>.2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.合同签订后30天内部署至可试运行状态；</w:t>
      </w:r>
    </w:p>
    <w:p w14:paraId="274C632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3.服务内容：</w:t>
      </w:r>
    </w:p>
    <w:p w14:paraId="1A49C31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（1）指派专人负责与采购人联系服务事宜。无论设备因何种原因发生何种故障，须在2小时内响应，4小时内到达现场，24小时内解决问题。</w:t>
      </w:r>
    </w:p>
    <w:p w14:paraId="23D9C2E4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（2）系统详细需求调研、需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  <w:t>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确认、项目实施、培训等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  <w:t>工作须采用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驻校服务模式。</w:t>
      </w:r>
    </w:p>
    <w:p w14:paraId="7446ACE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（3）在系统调试完成后提供详尽的系统使用手册（图文）或视频操作指南，并在每个模块正式上线运行后提供不少于3个工作日的系统使用培训。</w:t>
      </w:r>
    </w:p>
    <w:p w14:paraId="4E24F2A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（4）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  <w:lang w:val="en-US" w:eastAsia="zh-CN"/>
        </w:rPr>
        <w:t>因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系统的开发或实施存在缺陷导致的安全漏洞由乙方无偿修复。</w:t>
      </w:r>
    </w:p>
    <w:p w14:paraId="5E178D5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（5）服务方式包括不限于：电话、QQ、微信、钉钉、指定的方式。</w:t>
      </w:r>
    </w:p>
    <w:p w14:paraId="48087CDA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" w:lineRule="atLeast"/>
        <w:ind w:left="0" w:right="0" w:firstLine="520"/>
        <w:jc w:val="left"/>
        <w:rPr>
          <w:rFonts w:hint="eastAsia" w:asciiTheme="minorEastAsia" w:hAnsiTheme="minorEastAsia" w:eastAsiaTheme="minorEastAsia" w:cstheme="minorEastAsia"/>
          <w:color w:val="auto"/>
          <w:sz w:val="22"/>
          <w:szCs w:val="22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（6）为我校师生建立专门的QQ群或者微信群、专业客服团队，提供售后服务，服务包括不限于：系统操作使用答疑、异常情况排查和处理</w:t>
      </w:r>
      <w:bookmarkStart w:id="6" w:name="_GoBack"/>
      <w:bookmarkEnd w:id="6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auto"/>
          <w:spacing w:val="0"/>
          <w:sz w:val="22"/>
          <w:szCs w:val="22"/>
        </w:rPr>
        <w:t>、技术问题反馈、漏洞无偿修复。</w:t>
      </w:r>
    </w:p>
    <w:sectPr>
      <w:pgSz w:w="12240" w:h="15840"/>
      <w:pgMar w:top="1134" w:right="1418" w:bottom="964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E092E"/>
    <w:rsid w:val="04FE3979"/>
    <w:rsid w:val="0644186E"/>
    <w:rsid w:val="06A37C3B"/>
    <w:rsid w:val="07625936"/>
    <w:rsid w:val="12742564"/>
    <w:rsid w:val="17F850AB"/>
    <w:rsid w:val="26B065C0"/>
    <w:rsid w:val="27637EA1"/>
    <w:rsid w:val="27795664"/>
    <w:rsid w:val="2FA82F76"/>
    <w:rsid w:val="369F4A2C"/>
    <w:rsid w:val="38284C73"/>
    <w:rsid w:val="3A0D7B8F"/>
    <w:rsid w:val="3C2A54F7"/>
    <w:rsid w:val="3C9626FA"/>
    <w:rsid w:val="3D371F82"/>
    <w:rsid w:val="43837DA9"/>
    <w:rsid w:val="461B1DC9"/>
    <w:rsid w:val="57850129"/>
    <w:rsid w:val="5B4D3EFA"/>
    <w:rsid w:val="5E6F08FE"/>
    <w:rsid w:val="60F35816"/>
    <w:rsid w:val="66874E0A"/>
    <w:rsid w:val="67EBA3DD"/>
    <w:rsid w:val="690D6338"/>
    <w:rsid w:val="6BD65427"/>
    <w:rsid w:val="71C90773"/>
    <w:rsid w:val="72AF6DF2"/>
    <w:rsid w:val="792D2706"/>
    <w:rsid w:val="79E104AA"/>
    <w:rsid w:val="7AE81B6E"/>
    <w:rsid w:val="7B276391"/>
    <w:rsid w:val="7BF47A12"/>
    <w:rsid w:val="7D8B6FBE"/>
    <w:rsid w:val="7F3E3FD7"/>
    <w:rsid w:val="AED71989"/>
    <w:rsid w:val="B1BB9B02"/>
    <w:rsid w:val="B67FC87D"/>
    <w:rsid w:val="D5FF8AE9"/>
    <w:rsid w:val="D6F1B006"/>
    <w:rsid w:val="D7EC675C"/>
    <w:rsid w:val="ED8EF3BB"/>
    <w:rsid w:val="FAFF2307"/>
    <w:rsid w:val="FF6E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spacing w:val="10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8718</Words>
  <Characters>8780</Characters>
  <Lines>1</Lines>
  <Paragraphs>1</Paragraphs>
  <TotalTime>14</TotalTime>
  <ScaleCrop>false</ScaleCrop>
  <LinksUpToDate>false</LinksUpToDate>
  <CharactersWithSpaces>8782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2026-06-14T10:08:00Z</dcterms:created>
  <dc:creator>oonvwer1122</dc:creator>
  <cp:lastModifiedBy>郑怀宇</cp:lastModifiedBy>
  <dcterms:modified xsi:type="dcterms:W3CDTF">2026-07-06T00:23:10Z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AFD2D6513E6B4BDDA2C5C34335AAF10A_13</vt:lpwstr>
  </property>
  <property fmtid="{D5CDD505-2E9C-101B-9397-08002B2CF9AE}" pid="4" name="KSOTemplateDocerSaveRecord">
    <vt:lpwstr>eyJoZGlkIjoiODVjZjNkZjc2NWZhYWY3Y2MyMjQxYjU0YWIwZTQ5YTQiLCJ1c2VySWQiOiIxNDcxNTg3NDEzIn0=</vt:lpwstr>
  </property>
</Properties>
</file>